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bCs/>
          <w:sz w:val="44"/>
          <w:szCs w:val="44"/>
          <w:highlight w:val="none"/>
        </w:rPr>
      </w:pPr>
    </w:p>
    <w:p>
      <w:pPr>
        <w:spacing w:line="360" w:lineRule="auto"/>
        <w:jc w:val="center"/>
        <w:rPr>
          <w:rFonts w:hint="eastAsia" w:ascii="宋体" w:hAnsi="宋体" w:cs="宋体"/>
          <w:b/>
          <w:bCs/>
          <w:sz w:val="56"/>
          <w:szCs w:val="56"/>
          <w:highlight w:val="none"/>
          <w:lang w:eastAsia="zh-CN"/>
        </w:rPr>
      </w:pPr>
      <w:r>
        <w:rPr>
          <w:rFonts w:hint="eastAsia" w:ascii="宋体" w:hAnsi="宋体" w:cs="宋体"/>
          <w:b/>
          <w:bCs/>
          <w:sz w:val="56"/>
          <w:szCs w:val="56"/>
          <w:highlight w:val="none"/>
          <w:lang w:eastAsia="zh-CN"/>
        </w:rPr>
        <w:t>俊景路观景路改造提升</w:t>
      </w:r>
    </w:p>
    <w:p>
      <w:pPr>
        <w:spacing w:line="360" w:lineRule="auto"/>
        <w:jc w:val="center"/>
        <w:rPr>
          <w:rFonts w:ascii="宋体" w:hAnsi="宋体" w:cs="宋体"/>
          <w:b/>
          <w:bCs/>
          <w:sz w:val="36"/>
          <w:szCs w:val="36"/>
          <w:highlight w:val="none"/>
        </w:rPr>
      </w:pPr>
      <w:r>
        <w:rPr>
          <w:rFonts w:hint="eastAsia" w:ascii="宋体" w:hAnsi="宋体" w:cs="宋体"/>
          <w:b/>
          <w:bCs/>
          <w:sz w:val="36"/>
          <w:szCs w:val="36"/>
          <w:highlight w:val="none"/>
        </w:rPr>
        <w:t>（项目编号：</w:t>
      </w:r>
      <w:r>
        <w:rPr>
          <w:rFonts w:hint="eastAsia" w:ascii="宋体" w:hAnsi="宋体" w:cs="宋体"/>
          <w:b/>
          <w:bCs/>
          <w:sz w:val="36"/>
          <w:szCs w:val="36"/>
          <w:highlight w:val="none"/>
          <w:lang w:eastAsia="zh-CN"/>
        </w:rPr>
        <w:t>XYGL202403CSC001</w:t>
      </w:r>
      <w:r>
        <w:rPr>
          <w:rFonts w:hint="eastAsia" w:ascii="宋体" w:hAnsi="宋体" w:cs="宋体"/>
          <w:b/>
          <w:bCs/>
          <w:sz w:val="36"/>
          <w:szCs w:val="36"/>
          <w:highlight w:val="none"/>
        </w:rPr>
        <w:t>）</w:t>
      </w:r>
    </w:p>
    <w:p>
      <w:pPr>
        <w:spacing w:line="360" w:lineRule="auto"/>
        <w:jc w:val="both"/>
        <w:rPr>
          <w:rFonts w:ascii="宋体" w:hAnsi="宋体" w:cs="宋体"/>
          <w:b/>
          <w:bCs/>
          <w:sz w:val="36"/>
          <w:szCs w:val="36"/>
          <w:highlight w:val="none"/>
        </w:rPr>
      </w:pPr>
    </w:p>
    <w:p>
      <w:pPr>
        <w:tabs>
          <w:tab w:val="left" w:pos="420"/>
          <w:tab w:val="left" w:pos="6660"/>
        </w:tabs>
        <w:spacing w:line="360" w:lineRule="auto"/>
        <w:jc w:val="center"/>
        <w:rPr>
          <w:rFonts w:ascii="宋体" w:hAnsi="宋体" w:cs="宋体"/>
          <w:b/>
          <w:sz w:val="52"/>
          <w:szCs w:val="52"/>
          <w:highlight w:val="none"/>
        </w:rPr>
      </w:pPr>
    </w:p>
    <w:p>
      <w:pPr>
        <w:tabs>
          <w:tab w:val="left" w:pos="420"/>
          <w:tab w:val="left" w:pos="6660"/>
        </w:tabs>
        <w:spacing w:line="360" w:lineRule="auto"/>
        <w:jc w:val="center"/>
        <w:rPr>
          <w:rFonts w:ascii="宋体" w:hAnsi="宋体" w:cs="宋体"/>
          <w:b/>
          <w:sz w:val="72"/>
          <w:szCs w:val="72"/>
          <w:highlight w:val="none"/>
        </w:rPr>
      </w:pPr>
      <w:r>
        <w:rPr>
          <w:rFonts w:hint="eastAsia" w:ascii="宋体" w:hAnsi="宋体" w:cs="宋体"/>
          <w:b/>
          <w:sz w:val="72"/>
          <w:szCs w:val="72"/>
          <w:highlight w:val="none"/>
        </w:rPr>
        <w:t>竞争性磋商文件</w:t>
      </w:r>
    </w:p>
    <w:p>
      <w:pPr>
        <w:spacing w:line="360" w:lineRule="auto"/>
        <w:jc w:val="center"/>
        <w:rPr>
          <w:rFonts w:ascii="宋体" w:hAnsi="宋体" w:cs="宋体"/>
          <w:b/>
          <w:bCs/>
          <w:sz w:val="36"/>
          <w:szCs w:val="36"/>
          <w:highlight w:val="none"/>
        </w:rPr>
      </w:pPr>
    </w:p>
    <w:p>
      <w:pPr>
        <w:spacing w:line="360" w:lineRule="auto"/>
        <w:jc w:val="center"/>
        <w:rPr>
          <w:rFonts w:ascii="宋体" w:hAnsi="宋体" w:cs="宋体"/>
          <w:b/>
          <w:bCs/>
          <w:sz w:val="28"/>
          <w:szCs w:val="28"/>
          <w:highlight w:val="none"/>
        </w:rPr>
      </w:pPr>
    </w:p>
    <w:p>
      <w:pPr>
        <w:pStyle w:val="2"/>
        <w:rPr>
          <w:rFonts w:ascii="宋体" w:hAnsi="宋体" w:cs="宋体"/>
          <w:b/>
          <w:bCs/>
          <w:sz w:val="28"/>
          <w:szCs w:val="28"/>
          <w:highlight w:val="none"/>
        </w:rPr>
      </w:pPr>
    </w:p>
    <w:p>
      <w:pPr>
        <w:pStyle w:val="21"/>
        <w:rPr>
          <w:rFonts w:ascii="宋体" w:hAnsi="宋体" w:cs="宋体"/>
          <w:b/>
          <w:bCs/>
          <w:sz w:val="28"/>
          <w:szCs w:val="28"/>
          <w:highlight w:val="none"/>
        </w:rPr>
      </w:pPr>
    </w:p>
    <w:p>
      <w:pPr>
        <w:rPr>
          <w:rFonts w:ascii="宋体" w:hAnsi="宋体" w:cs="宋体"/>
          <w:b/>
          <w:bCs/>
          <w:sz w:val="28"/>
          <w:szCs w:val="28"/>
          <w:highlight w:val="none"/>
        </w:rPr>
      </w:pPr>
    </w:p>
    <w:p>
      <w:pPr>
        <w:pStyle w:val="2"/>
        <w:rPr>
          <w:rFonts w:ascii="宋体" w:hAnsi="宋体" w:cs="宋体"/>
          <w:b/>
          <w:bCs/>
          <w:sz w:val="28"/>
          <w:szCs w:val="28"/>
          <w:highlight w:val="none"/>
        </w:rPr>
      </w:pPr>
    </w:p>
    <w:p>
      <w:pPr>
        <w:pStyle w:val="21"/>
        <w:rPr>
          <w:rFonts w:ascii="宋体" w:hAnsi="宋体" w:cs="宋体"/>
          <w:b/>
          <w:bCs/>
          <w:sz w:val="28"/>
          <w:szCs w:val="28"/>
          <w:highlight w:val="none"/>
        </w:rPr>
      </w:pPr>
    </w:p>
    <w:p>
      <w:pPr>
        <w:rPr>
          <w:highlight w:val="none"/>
        </w:rPr>
      </w:pPr>
    </w:p>
    <w:p>
      <w:pPr>
        <w:spacing w:line="480" w:lineRule="auto"/>
        <w:jc w:val="center"/>
        <w:rPr>
          <w:rFonts w:ascii="宋体" w:hAnsi="宋体" w:cs="宋体"/>
          <w:b/>
          <w:bCs/>
          <w:sz w:val="28"/>
          <w:szCs w:val="28"/>
          <w:highlight w:val="none"/>
        </w:rPr>
      </w:pPr>
    </w:p>
    <w:p>
      <w:pPr>
        <w:spacing w:line="360" w:lineRule="auto"/>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rPr>
        <w:t>采购人：</w:t>
      </w:r>
      <w:r>
        <w:rPr>
          <w:rFonts w:hint="eastAsia" w:ascii="宋体" w:hAnsi="宋体" w:cs="宋体"/>
          <w:b/>
          <w:bCs/>
          <w:sz w:val="32"/>
          <w:szCs w:val="32"/>
          <w:highlight w:val="none"/>
          <w:lang w:eastAsia="zh-CN"/>
        </w:rPr>
        <w:t>中山市民众街道民众社区居民委员会</w:t>
      </w:r>
    </w:p>
    <w:p>
      <w:pPr>
        <w:spacing w:line="360" w:lineRule="auto"/>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rPr>
        <w:t>采购代理：</w:t>
      </w:r>
      <w:r>
        <w:rPr>
          <w:rFonts w:hint="eastAsia" w:ascii="宋体" w:hAnsi="宋体" w:cs="宋体"/>
          <w:b/>
          <w:bCs/>
          <w:sz w:val="32"/>
          <w:szCs w:val="32"/>
          <w:highlight w:val="none"/>
          <w:lang w:eastAsia="zh-CN"/>
        </w:rPr>
        <w:t>中山行远项目管理有限公司</w:t>
      </w:r>
    </w:p>
    <w:p>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二〇二</w:t>
      </w:r>
      <w:r>
        <w:rPr>
          <w:rFonts w:hint="eastAsia" w:ascii="宋体" w:hAnsi="宋体" w:cs="宋体"/>
          <w:b/>
          <w:bCs/>
          <w:sz w:val="32"/>
          <w:szCs w:val="32"/>
          <w:highlight w:val="none"/>
          <w:lang w:val="en-US" w:eastAsia="zh-CN"/>
        </w:rPr>
        <w:t>四</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三</w:t>
      </w:r>
      <w:r>
        <w:rPr>
          <w:rFonts w:hint="eastAsia" w:ascii="宋体" w:hAnsi="宋体" w:cs="宋体"/>
          <w:b/>
          <w:bCs/>
          <w:sz w:val="32"/>
          <w:szCs w:val="32"/>
          <w:highlight w:val="none"/>
        </w:rPr>
        <w:t>月</w:t>
      </w:r>
    </w:p>
    <w:p>
      <w:pPr>
        <w:jc w:val="center"/>
        <w:rPr>
          <w:rFonts w:ascii="楷体_GB2312" w:hAnsi="Arial" w:eastAsia="楷体_GB2312"/>
          <w:b/>
          <w:spacing w:val="200"/>
          <w:sz w:val="44"/>
          <w:szCs w:val="44"/>
          <w:highlight w:val="none"/>
        </w:rPr>
        <w:sectPr>
          <w:footerReference r:id="rId3" w:type="default"/>
          <w:footerReference r:id="rId4" w:type="even"/>
          <w:type w:val="nextColumn"/>
          <w:pgSz w:w="11906" w:h="16838"/>
          <w:pgMar w:top="1134" w:right="1134" w:bottom="1134" w:left="1134" w:header="851" w:footer="992" w:gutter="0"/>
          <w:pgNumType w:start="1"/>
          <w:cols w:space="720" w:num="1"/>
          <w:titlePg/>
          <w:docGrid w:linePitch="312" w:charSpace="0"/>
        </w:sectPr>
      </w:pPr>
    </w:p>
    <w:p>
      <w:pPr>
        <w:jc w:val="center"/>
        <w:rPr>
          <w:rFonts w:ascii="楷体_GB2312" w:hAnsi="Arial" w:eastAsia="楷体_GB2312"/>
          <w:b/>
          <w:spacing w:val="200"/>
          <w:sz w:val="52"/>
          <w:szCs w:val="52"/>
          <w:highlight w:val="none"/>
        </w:rPr>
      </w:pPr>
      <w:r>
        <w:rPr>
          <w:rFonts w:hint="eastAsia" w:ascii="楷体_GB2312" w:hAnsi="Arial" w:eastAsia="楷体_GB2312"/>
          <w:b/>
          <w:spacing w:val="200"/>
          <w:sz w:val="52"/>
          <w:szCs w:val="52"/>
          <w:highlight w:val="none"/>
        </w:rPr>
        <w:t>目  录</w:t>
      </w:r>
    </w:p>
    <w:p>
      <w:pPr>
        <w:jc w:val="center"/>
        <w:rPr>
          <w:rFonts w:ascii="楷体_GB2312" w:hAnsi="Arial" w:eastAsia="楷体_GB2312"/>
          <w:b/>
          <w:spacing w:val="200"/>
          <w:sz w:val="24"/>
          <w:szCs w:val="24"/>
          <w:highlight w:val="none"/>
        </w:rPr>
      </w:pPr>
    </w:p>
    <w:p>
      <w:pPr>
        <w:jc w:val="center"/>
        <w:rPr>
          <w:sz w:val="24"/>
          <w:szCs w:val="22"/>
          <w:highlight w:val="none"/>
        </w:rPr>
      </w:pPr>
    </w:p>
    <w:p>
      <w:pPr>
        <w:pStyle w:val="63"/>
        <w:tabs>
          <w:tab w:val="right" w:leader="dot" w:pos="9638"/>
        </w:tabs>
        <w:rPr>
          <w:rFonts w:hint="eastAsia" w:asciiTheme="majorEastAsia" w:hAnsiTheme="majorEastAsia" w:eastAsiaTheme="majorEastAsia" w:cstheme="majorEastAsia"/>
          <w:b/>
          <w:sz w:val="18"/>
          <w:szCs w:val="18"/>
          <w:highlight w:val="none"/>
        </w:rPr>
      </w:pPr>
      <w:r>
        <w:rPr>
          <w:rFonts w:hint="eastAsia"/>
          <w:sz w:val="22"/>
          <w:szCs w:val="22"/>
          <w:highlight w:val="none"/>
        </w:rPr>
        <w:fldChar w:fldCharType="begin"/>
      </w:r>
      <w:r>
        <w:rPr>
          <w:rFonts w:hint="eastAsia"/>
          <w:sz w:val="22"/>
          <w:szCs w:val="22"/>
          <w:highlight w:val="none"/>
        </w:rPr>
        <w:instrText xml:space="preserve">TOC \o "1-2" \h \u </w:instrText>
      </w:r>
      <w:r>
        <w:rPr>
          <w:rFonts w:hint="eastAsia"/>
          <w:sz w:val="22"/>
          <w:szCs w:val="22"/>
          <w:highlight w:val="none"/>
        </w:rPr>
        <w:fldChar w:fldCharType="separate"/>
      </w: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"_Toc9261"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18"/>
          <w:highlight w:val="none"/>
        </w:rPr>
        <w:t xml:space="preserve">第一部分 </w:t>
      </w:r>
      <w:r>
        <w:rPr>
          <w:rFonts w:hint="eastAsia" w:asciiTheme="majorEastAsia" w:hAnsiTheme="majorEastAsia" w:eastAsiaTheme="majorEastAsia" w:cstheme="majorEastAsia"/>
          <w:b/>
          <w:sz w:val="18"/>
          <w:szCs w:val="18"/>
          <w:highlight w:val="none"/>
          <w:lang w:val="en-US" w:eastAsia="zh-CN"/>
        </w:rPr>
        <w:t xml:space="preserve">  </w:t>
      </w:r>
      <w:r>
        <w:rPr>
          <w:rFonts w:hint="eastAsia" w:asciiTheme="majorEastAsia" w:hAnsiTheme="majorEastAsia" w:eastAsiaTheme="majorEastAsia" w:cstheme="majorEastAsia"/>
          <w:b/>
          <w:sz w:val="20"/>
          <w:szCs w:val="40"/>
          <w:highlight w:val="none"/>
        </w:rPr>
        <w:t>竞 争 性 磋 商 邀 请 函</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rPr>
        <w:t>1</w:t>
      </w:r>
    </w:p>
    <w:p>
      <w:pPr>
        <w:pStyle w:val="63"/>
        <w:tabs>
          <w:tab w:val="right" w:leader="dot" w:pos="9638"/>
        </w:tabs>
        <w:rPr>
          <w:rFonts w:hint="eastAsia" w:asciiTheme="majorEastAsia" w:hAnsiTheme="majorEastAsia" w:eastAsiaTheme="majorEastAsia" w:cstheme="majorEastAsia"/>
          <w:b/>
          <w:sz w:val="18"/>
          <w:szCs w:val="18"/>
          <w:highlight w:val="none"/>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"_Toc28107"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40"/>
          <w:highlight w:val="none"/>
        </w:rPr>
        <w:t>第二部分   用 户 需 求 书</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rPr>
        <w:t>5</w:t>
      </w:r>
    </w:p>
    <w:p>
      <w:pPr>
        <w:pStyle w:val="63"/>
        <w:tabs>
          <w:tab w:val="right" w:leader="dot" w:pos="9638"/>
        </w:tabs>
        <w:rPr>
          <w:rFonts w:hint="eastAsia" w:asciiTheme="majorEastAsia" w:hAnsiTheme="majorEastAsia" w:eastAsiaTheme="majorEastAsia" w:cstheme="majorEastAsia"/>
          <w:sz w:val="18"/>
          <w:szCs w:val="18"/>
          <w:highlight w:val="none"/>
          <w:lang w:val="en-US" w:eastAsia="zh-CN"/>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"_Toc25297"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40"/>
          <w:highlight w:val="none"/>
        </w:rPr>
        <w:t xml:space="preserve">第三部分 </w:t>
      </w:r>
      <w:r>
        <w:rPr>
          <w:rFonts w:hint="eastAsia" w:asciiTheme="majorEastAsia" w:hAnsiTheme="majorEastAsia" w:eastAsiaTheme="majorEastAsia" w:cstheme="majorEastAsia"/>
          <w:b/>
          <w:sz w:val="18"/>
          <w:szCs w:val="40"/>
          <w:highlight w:val="none"/>
          <w:lang w:val="en-US" w:eastAsia="zh-CN"/>
        </w:rPr>
        <w:t xml:space="preserve">  </w:t>
      </w:r>
      <w:r>
        <w:rPr>
          <w:rFonts w:hint="eastAsia" w:asciiTheme="majorEastAsia" w:hAnsiTheme="majorEastAsia" w:eastAsiaTheme="majorEastAsia" w:cstheme="majorEastAsia"/>
          <w:b/>
          <w:sz w:val="18"/>
          <w:szCs w:val="40"/>
          <w:highlight w:val="none"/>
        </w:rPr>
        <w:t>供 应 商 须 知</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lang w:val="en-US" w:eastAsia="zh-CN"/>
        </w:rPr>
        <w:t>10</w:t>
      </w:r>
    </w:p>
    <w:p>
      <w:pPr>
        <w:pStyle w:val="63"/>
        <w:tabs>
          <w:tab w:val="right" w:leader="dot" w:pos="9638"/>
        </w:tabs>
        <w:rPr>
          <w:rFonts w:hint="eastAsia" w:asciiTheme="majorEastAsia" w:hAnsiTheme="majorEastAsia" w:eastAsiaTheme="majorEastAsia" w:cstheme="majorEastAsia"/>
          <w:sz w:val="18"/>
          <w:szCs w:val="18"/>
          <w:highlight w:val="none"/>
          <w:lang w:eastAsia="zh-CN"/>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"_Toc15423"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32"/>
          <w:highlight w:val="none"/>
        </w:rPr>
        <w:t>第四部分   合 同 书 格 式</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rPr>
        <w:t>3</w:t>
      </w:r>
      <w:r>
        <w:rPr>
          <w:rFonts w:hint="eastAsia" w:asciiTheme="majorEastAsia" w:hAnsiTheme="majorEastAsia" w:eastAsiaTheme="majorEastAsia" w:cstheme="majorEastAsia"/>
          <w:b/>
          <w:sz w:val="18"/>
          <w:szCs w:val="18"/>
          <w:highlight w:val="none"/>
          <w:lang w:val="en-US" w:eastAsia="zh-CN"/>
        </w:rPr>
        <w:t>5</w:t>
      </w:r>
    </w:p>
    <w:p>
      <w:pPr>
        <w:pStyle w:val="63"/>
        <w:tabs>
          <w:tab w:val="right" w:leader="dot" w:pos="9638"/>
        </w:tabs>
        <w:rPr>
          <w:rFonts w:hint="eastAsia" w:asciiTheme="majorEastAsia" w:hAnsiTheme="majorEastAsia" w:eastAsiaTheme="majorEastAsia" w:cstheme="majorEastAsia"/>
          <w:b/>
          <w:sz w:val="18"/>
          <w:szCs w:val="18"/>
          <w:highlight w:val="none"/>
          <w:lang w:eastAsia="zh-CN"/>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"_Toc23342"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40"/>
          <w:highlight w:val="none"/>
        </w:rPr>
        <w:t>第五部分   响应文件格式</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lang w:val="en-US" w:eastAsia="zh-CN"/>
        </w:rPr>
        <w:t>36</w:t>
      </w:r>
    </w:p>
    <w:p>
      <w:pPr>
        <w:pStyle w:val="78"/>
        <w:tabs>
          <w:tab w:val="right" w:leader="dot" w:pos="9638"/>
        </w:tabs>
        <w:ind w:left="420"/>
        <w:rPr>
          <w:sz w:val="22"/>
          <w:szCs w:val="22"/>
          <w:highlight w:val="none"/>
        </w:rPr>
      </w:pPr>
    </w:p>
    <w:p>
      <w:pPr>
        <w:pStyle w:val="70"/>
        <w:rPr>
          <w:highlight w:val="none"/>
        </w:rPr>
      </w:pPr>
      <w:r>
        <w:rPr>
          <w:rFonts w:hint="eastAsia"/>
          <w:sz w:val="52"/>
          <w:szCs w:val="22"/>
          <w:highlight w:val="none"/>
        </w:rPr>
        <w:fldChar w:fldCharType="end"/>
      </w: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sectPr>
          <w:footerReference r:id="rId6" w:type="first"/>
          <w:footerReference r:id="rId5" w:type="default"/>
          <w:pgSz w:w="11906" w:h="16838"/>
          <w:pgMar w:top="1134" w:right="1134" w:bottom="1134" w:left="1134" w:header="851" w:footer="992" w:gutter="0"/>
          <w:pgNumType w:start="1"/>
          <w:cols w:space="720" w:num="1"/>
          <w:titlePg/>
          <w:docGrid w:linePitch="312" w:charSpace="0"/>
        </w:sectPr>
      </w:pPr>
    </w:p>
    <w:p>
      <w:pPr>
        <w:pStyle w:val="70"/>
        <w:rPr>
          <w:highlight w:val="none"/>
        </w:rPr>
      </w:pPr>
    </w:p>
    <w:p>
      <w:pPr>
        <w:pStyle w:val="70"/>
        <w:rPr>
          <w:highlight w:val="none"/>
        </w:rPr>
      </w:pPr>
    </w:p>
    <w:p>
      <w:pPr>
        <w:pStyle w:val="70"/>
        <w:rPr>
          <w:highlight w:val="none"/>
        </w:rPr>
      </w:pPr>
    </w:p>
    <w:p>
      <w:pPr>
        <w:pStyle w:val="70"/>
        <w:rPr>
          <w:highlight w:val="none"/>
        </w:rPr>
      </w:pPr>
    </w:p>
    <w:p>
      <w:pPr>
        <w:pStyle w:val="70"/>
        <w:outlineLvl w:val="0"/>
        <w:rPr>
          <w:highlight w:val="none"/>
        </w:rPr>
      </w:pPr>
      <w:bookmarkStart w:id="0" w:name="_Toc9261"/>
      <w:bookmarkStart w:id="1" w:name="_Toc436492508"/>
      <w:bookmarkStart w:id="2" w:name="_Toc436734385"/>
      <w:bookmarkStart w:id="3" w:name="_Toc465353210"/>
      <w:bookmarkStart w:id="4" w:name="_Toc17714"/>
      <w:r>
        <w:rPr>
          <w:rFonts w:hint="eastAsia"/>
          <w:highlight w:val="none"/>
        </w:rPr>
        <w:t>第一部分</w:t>
      </w:r>
      <w:bookmarkEnd w:id="0"/>
      <w:bookmarkEnd w:id="1"/>
      <w:bookmarkEnd w:id="2"/>
      <w:bookmarkEnd w:id="3"/>
      <w:bookmarkEnd w:id="4"/>
    </w:p>
    <w:p>
      <w:pPr>
        <w:pStyle w:val="70"/>
        <w:rPr>
          <w:szCs w:val="22"/>
          <w:highlight w:val="none"/>
        </w:rPr>
      </w:pPr>
      <w:bookmarkStart w:id="5" w:name="_Toc465353211"/>
      <w:bookmarkStart w:id="6" w:name="_Toc4775"/>
      <w:bookmarkStart w:id="7" w:name="_Toc8"/>
      <w:bookmarkStart w:id="8" w:name="_Toc456965966"/>
      <w:bookmarkStart w:id="9" w:name="_Toc20126"/>
      <w:bookmarkStart w:id="10" w:name="_Toc14323"/>
      <w:r>
        <w:rPr>
          <w:rFonts w:hint="eastAsia"/>
          <w:szCs w:val="22"/>
          <w:highlight w:val="none"/>
        </w:rPr>
        <w:t>竞 争 性 磋 商 邀 请 函</w:t>
      </w:r>
      <w:bookmarkEnd w:id="5"/>
      <w:bookmarkEnd w:id="6"/>
      <w:bookmarkEnd w:id="7"/>
      <w:bookmarkEnd w:id="8"/>
      <w:bookmarkEnd w:id="9"/>
      <w:bookmarkEnd w:id="10"/>
    </w:p>
    <w:p>
      <w:pPr>
        <w:adjustRightInd w:val="0"/>
        <w:snapToGrid w:val="0"/>
        <w:spacing w:line="360" w:lineRule="auto"/>
        <w:jc w:val="center"/>
        <w:rPr>
          <w:rFonts w:ascii="宋体" w:hAnsi="宋体"/>
          <w:b/>
          <w:kern w:val="28"/>
          <w:sz w:val="32"/>
          <w:highlight w:val="none"/>
        </w:rPr>
      </w:pPr>
      <w:r>
        <w:rPr>
          <w:rFonts w:ascii="宋体"/>
          <w:sz w:val="24"/>
          <w:highlight w:val="none"/>
        </w:rPr>
        <w:br w:type="page"/>
      </w:r>
      <w:bookmarkStart w:id="11" w:name="_Toc24028"/>
      <w:bookmarkStart w:id="12" w:name="_Toc24007_WPSOffice_Level1"/>
      <w:bookmarkStart w:id="13" w:name="_Toc25895"/>
      <w:r>
        <w:rPr>
          <w:rFonts w:hint="eastAsia" w:ascii="宋体" w:hAnsi="宋体"/>
          <w:b/>
          <w:kern w:val="28"/>
          <w:sz w:val="32"/>
          <w:highlight w:val="none"/>
        </w:rPr>
        <w:t>竞 争 性 磋 商 邀 请 函</w:t>
      </w:r>
      <w:bookmarkEnd w:id="11"/>
      <w:bookmarkEnd w:id="12"/>
      <w:bookmarkEnd w:id="13"/>
    </w:p>
    <w:p>
      <w:pPr>
        <w:spacing w:line="480" w:lineRule="auto"/>
        <w:rPr>
          <w:rFonts w:ascii="宋体" w:hAnsi="宋体"/>
          <w:kern w:val="28"/>
          <w:szCs w:val="21"/>
          <w:highlight w:val="none"/>
        </w:rPr>
      </w:pPr>
      <w:r>
        <w:rPr>
          <w:rFonts w:hint="eastAsia" w:ascii="宋体" w:hAnsi="宋体"/>
          <w:kern w:val="28"/>
          <w:szCs w:val="21"/>
          <w:highlight w:val="none"/>
        </w:rPr>
        <w:t>各潜在供应商：</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中山行远项目管理有限公司（以下简称“采购代理机构”）受中山市民众街道民众社区居民委员会（以下简称“采购人”）的委托，组织俊景路观景路改造提升（以下简称“项目”）竞争性磋商采购。欢迎符合资格条件的潜在供应商报价。</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1.项目编号：XYGL202403CSC001</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2.项目名称：俊景路观景路改造提升</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3.</w:t>
      </w:r>
      <w:r>
        <w:rPr>
          <w:rFonts w:hint="eastAsia" w:ascii="宋体" w:hAnsi="宋体"/>
          <w:kern w:val="28"/>
          <w:szCs w:val="21"/>
          <w:highlight w:val="none"/>
          <w:lang w:eastAsia="zh-CN"/>
        </w:rPr>
        <w:t>最高限价为中介预算1963040.52元下浮12%，即1963040.52元×(1-12%)=1727475.66元。其中绿色施工安全防护措施费（不含税）为91288.19元。投标报价高于1727475.66元或者绿色施工安全防护措施费（不含税）低于91288.19元为无效报价。</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4.项目内容及需求：见用户需求书。</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5.项目内容：俊景路观景路改造提升，本项目不允许分包。</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6.简要技术要求或磋商项目的性质：详见磋商文件第二部分“用户需求书”的采购项目内容；</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 xml:space="preserve">7.本项目不允许提交备选方案； </w:t>
      </w:r>
    </w:p>
    <w:p>
      <w:pPr>
        <w:tabs>
          <w:tab w:val="left" w:pos="530"/>
        </w:tabs>
        <w:spacing w:line="480" w:lineRule="auto"/>
        <w:ind w:firstLine="210" w:firstLineChars="100"/>
        <w:rPr>
          <w:highlight w:val="none"/>
        </w:rPr>
      </w:pPr>
      <w:r>
        <w:rPr>
          <w:rFonts w:hint="eastAsia" w:ascii="宋体" w:hAnsi="宋体"/>
          <w:kern w:val="28"/>
          <w:szCs w:val="21"/>
          <w:highlight w:val="none"/>
          <w:lang w:eastAsia="zh-CN"/>
        </w:rPr>
        <w:t>8.本项目不属于专门面向中小企业采购的项目。采购标的对应的中小企业划分标准所属行业为建筑业</w:t>
      </w:r>
      <w:r>
        <w:rPr>
          <w:rFonts w:hint="eastAsia" w:ascii="宋体" w:hAnsi="宋体"/>
          <w:highlight w:val="none"/>
        </w:rPr>
        <w:t>。</w:t>
      </w:r>
    </w:p>
    <w:p>
      <w:pPr>
        <w:tabs>
          <w:tab w:val="left" w:pos="530"/>
          <w:tab w:val="left" w:pos="738"/>
        </w:tabs>
        <w:spacing w:line="480" w:lineRule="auto"/>
        <w:rPr>
          <w:rFonts w:ascii="宋体" w:hAnsi="宋体"/>
          <w:b/>
          <w:szCs w:val="21"/>
          <w:highlight w:val="none"/>
        </w:rPr>
      </w:pPr>
      <w:r>
        <w:rPr>
          <w:rFonts w:hint="eastAsia" w:ascii="宋体" w:hAnsi="宋体"/>
          <w:szCs w:val="22"/>
          <w:highlight w:val="none"/>
        </w:rPr>
        <w:t>一、合格供应商资格要求：</w:t>
      </w:r>
      <w:r>
        <w:rPr>
          <w:rFonts w:hint="eastAsia" w:ascii="宋体" w:hAnsi="宋体"/>
          <w:b/>
          <w:szCs w:val="21"/>
          <w:highlight w:val="none"/>
        </w:rPr>
        <w:tab/>
      </w:r>
    </w:p>
    <w:p>
      <w:pPr>
        <w:tabs>
          <w:tab w:val="left" w:pos="540"/>
        </w:tabs>
        <w:spacing w:line="480" w:lineRule="auto"/>
        <w:jc w:val="both"/>
        <w:rPr>
          <w:rFonts w:hint="eastAsia" w:ascii="宋体" w:hAnsi="宋体"/>
          <w:highlight w:val="none"/>
        </w:rPr>
      </w:pPr>
      <w:r>
        <w:rPr>
          <w:rFonts w:hint="eastAsia" w:ascii="宋体" w:hAnsi="宋体"/>
          <w:highlight w:val="none"/>
        </w:rPr>
        <w:t>1、符合《中华人民共和国政府采购法》第二十二条的要求；</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 xml:space="preserve">(1)具有独立承担民事责任的能力（提供营业执照复印件）；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(2)具有良好的商业信誉和健全的财务会计制度（提供近12个月内任何1个月编制的财务报表或</w:t>
      </w:r>
      <w:r>
        <w:rPr>
          <w:rFonts w:hint="eastAsia" w:ascii="宋体" w:hAnsi="宋体" w:cs="Times New Roman"/>
          <w:szCs w:val="22"/>
          <w:highlight w:val="none"/>
          <w:lang w:val="en-US" w:eastAsia="zh-CN"/>
        </w:rPr>
        <w:t>2023年</w:t>
      </w:r>
      <w:r>
        <w:rPr>
          <w:rFonts w:hint="eastAsia" w:ascii="宋体" w:hAnsi="宋体" w:cs="Times New Roman"/>
          <w:szCs w:val="22"/>
          <w:highlight w:val="none"/>
        </w:rPr>
        <w:t xml:space="preserve">的财务报告复印件加盖公章。）；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 xml:space="preserve">(3)具有履行合同所必需的设备和专业技术能力（按第五部分格式提供）；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 xml:space="preserve">(4)有依法缴纳税收和社会保障资金的良好记录（提供近12个月内任何时间的依法缴纳税收和社会保障资金的证明文件。如依法免税或不需要缴纳社会保障资金的，应提供相关证明材料）；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(5)参加政府采购活动前三年内，</w:t>
      </w:r>
      <w:r>
        <w:rPr>
          <w:rFonts w:hint="eastAsia" w:ascii="宋体" w:hAnsi="宋体" w:cs="Times New Roman"/>
          <w:szCs w:val="22"/>
          <w:highlight w:val="none"/>
          <w:lang w:eastAsia="zh-CN"/>
        </w:rPr>
        <w:t>参加本项目投标前3年内，在经营活动中没有因违法经营受到刑事处罚或者责令停产停业、吊销许可证或者执照、200万元以上较大数额罚款等行政处罚的重大违法记录（按第五部分格式提供声明）</w:t>
      </w:r>
      <w:r>
        <w:rPr>
          <w:rFonts w:hint="eastAsia" w:ascii="宋体" w:hAnsi="宋体" w:cs="Times New Roman"/>
          <w:szCs w:val="22"/>
          <w:highlight w:val="none"/>
        </w:rPr>
        <w:t xml:space="preserve">； </w:t>
      </w:r>
    </w:p>
    <w:p>
      <w:pPr>
        <w:wordWrap w:val="0"/>
        <w:adjustRightInd w:val="0"/>
        <w:snapToGrid w:val="0"/>
        <w:spacing w:line="480" w:lineRule="auto"/>
        <w:rPr>
          <w:highlight w:val="none"/>
        </w:rPr>
      </w:pPr>
      <w:r>
        <w:rPr>
          <w:rFonts w:hint="eastAsia" w:ascii="宋体" w:hAnsi="宋体" w:cs="Times New Roman"/>
          <w:szCs w:val="22"/>
          <w:highlight w:val="none"/>
        </w:rPr>
        <w:t>(6)法律、行政法规规定的其他条件。</w:t>
      </w:r>
    </w:p>
    <w:p>
      <w:pPr>
        <w:tabs>
          <w:tab w:val="left" w:pos="530"/>
          <w:tab w:val="left" w:pos="738"/>
        </w:tabs>
        <w:spacing w:line="480" w:lineRule="auto"/>
        <w:jc w:val="both"/>
        <w:rPr>
          <w:rFonts w:ascii="宋体" w:hAnsi="宋体" w:cs="宋体"/>
          <w:szCs w:val="21"/>
          <w:highlight w:val="none"/>
        </w:rPr>
      </w:pPr>
      <w:r>
        <w:rPr>
          <w:rFonts w:hint="eastAsia" w:ascii="宋体" w:hAnsi="宋体"/>
          <w:highlight w:val="none"/>
        </w:rPr>
        <w:t>2、</w:t>
      </w:r>
      <w:r>
        <w:rPr>
          <w:rFonts w:hint="eastAsia" w:ascii="宋体" w:hAnsi="宋体" w:cs="宋体"/>
          <w:szCs w:val="21"/>
          <w:highlight w:val="none"/>
        </w:rPr>
        <w:t>供应商</w:t>
      </w:r>
      <w:r>
        <w:rPr>
          <w:rFonts w:hint="eastAsia" w:ascii="宋体" w:hAnsi="宋体"/>
          <w:highlight w:val="none"/>
        </w:rPr>
        <w:t>必须</w:t>
      </w:r>
      <w:r>
        <w:rPr>
          <w:rFonts w:hint="eastAsia" w:ascii="宋体" w:hAnsi="宋体" w:cs="宋体"/>
          <w:szCs w:val="21"/>
          <w:highlight w:val="none"/>
        </w:rPr>
        <w:t>具有独立承担民事责任能力的在中华人民共和国境内注册的企业法人或其他组织，且独立于采购人和采购代理机构；</w:t>
      </w:r>
    </w:p>
    <w:p>
      <w:pPr>
        <w:adjustRightInd w:val="0"/>
        <w:snapToGrid w:val="0"/>
        <w:spacing w:line="480" w:lineRule="auto"/>
        <w:rPr>
          <w:rFonts w:ascii="宋体" w:hAnsi="宋体" w:cs="宋体"/>
          <w:szCs w:val="21"/>
          <w:highlight w:val="none"/>
        </w:rPr>
      </w:pPr>
      <w:r>
        <w:rPr>
          <w:rFonts w:hint="eastAsia" w:ascii="宋体" w:hAnsi="宋体" w:cs="宋体"/>
          <w:szCs w:val="21"/>
          <w:highlight w:val="none"/>
        </w:rPr>
        <w:t>3、供应商须具备：有效的市政公用工程施工总承包三级或以上资质，并具有有效的安全生产许可证（提供资质证书和安全生产许可证复印件并加盖公章, 如安全生产许可证为电子证书，提供含有行政审批部门专用章电子签章及二维码的安全生产许可证文件。资质证书、安全生产许可证过期的，如能提供相关部门顺延证书有效期的文件，且符合磋商文件规定的，则视为仍然有效。）</w:t>
      </w:r>
    </w:p>
    <w:p>
      <w:pPr>
        <w:wordWrap w:val="0"/>
        <w:adjustRightInd w:val="0"/>
        <w:snapToGrid w:val="0"/>
        <w:spacing w:line="480" w:lineRule="auto"/>
        <w:rPr>
          <w:rFonts w:ascii="宋体" w:hAnsi="宋体"/>
          <w:highlight w:val="none"/>
        </w:rPr>
      </w:pPr>
      <w:r>
        <w:rPr>
          <w:rFonts w:hint="eastAsia" w:ascii="宋体" w:hAnsi="宋体"/>
          <w:highlight w:val="none"/>
        </w:rPr>
        <w:t>4、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供应商需提供相关证明资料）。</w:t>
      </w:r>
    </w:p>
    <w:p>
      <w:pPr>
        <w:tabs>
          <w:tab w:val="left" w:pos="530"/>
          <w:tab w:val="left" w:pos="738"/>
        </w:tabs>
        <w:spacing w:line="480" w:lineRule="auto"/>
        <w:jc w:val="both"/>
        <w:rPr>
          <w:rFonts w:ascii="宋体" w:hAnsi="宋体"/>
          <w:highlight w:val="none"/>
        </w:rPr>
      </w:pPr>
      <w:r>
        <w:rPr>
          <w:rFonts w:hint="eastAsia" w:ascii="宋体" w:hAnsi="宋体"/>
          <w:highlight w:val="none"/>
        </w:rPr>
        <w:t>5、本项目不接受联合体投标，不允许提交备选方案；</w:t>
      </w:r>
    </w:p>
    <w:p>
      <w:pPr>
        <w:tabs>
          <w:tab w:val="left" w:pos="530"/>
          <w:tab w:val="left" w:pos="738"/>
        </w:tabs>
        <w:spacing w:line="480" w:lineRule="auto"/>
        <w:jc w:val="both"/>
        <w:rPr>
          <w:rFonts w:ascii="宋体" w:hAnsi="宋体"/>
          <w:highlight w:val="none"/>
        </w:rPr>
      </w:pPr>
      <w:r>
        <w:rPr>
          <w:rFonts w:hint="eastAsia" w:ascii="宋体" w:hAnsi="宋体"/>
          <w:highlight w:val="none"/>
        </w:rPr>
        <w:t>6、供应商须到采购代理机构参与投标并购买磋商文件。</w:t>
      </w:r>
    </w:p>
    <w:p>
      <w:pPr>
        <w:tabs>
          <w:tab w:val="left" w:pos="530"/>
          <w:tab w:val="left" w:pos="738"/>
        </w:tabs>
        <w:spacing w:line="480" w:lineRule="auto"/>
        <w:jc w:val="both"/>
        <w:rPr>
          <w:rFonts w:ascii="宋体" w:hAnsi="宋体"/>
          <w:highlight w:val="none"/>
        </w:rPr>
      </w:pPr>
      <w:r>
        <w:rPr>
          <w:rFonts w:hint="eastAsia" w:ascii="宋体" w:hAnsi="宋体"/>
          <w:highlight w:val="none"/>
        </w:rPr>
        <w:t>7、单位负责人为同一人或者存在直接控股、管理关系的不同供应商，不得同时参加本项目投标；为采购项目提供整体设计、规范编制或者项目管理、监理、检查等服务的供应商，不得参加本项目投标；</w:t>
      </w:r>
    </w:p>
    <w:p>
      <w:pPr>
        <w:tabs>
          <w:tab w:val="left" w:pos="530"/>
          <w:tab w:val="left" w:pos="738"/>
        </w:tabs>
        <w:spacing w:line="480" w:lineRule="auto"/>
        <w:rPr>
          <w:rFonts w:ascii="宋体" w:hAnsi="宋体"/>
          <w:highlight w:val="none"/>
        </w:rPr>
      </w:pPr>
      <w:r>
        <w:rPr>
          <w:rFonts w:hint="eastAsia" w:ascii="宋体" w:hAnsi="宋体"/>
          <w:highlight w:val="none"/>
        </w:rPr>
        <w:t>二、符合资格</w:t>
      </w:r>
      <w:r>
        <w:rPr>
          <w:rFonts w:hint="eastAsia" w:ascii="宋体" w:hAnsi="宋体"/>
          <w:szCs w:val="21"/>
          <w:highlight w:val="none"/>
        </w:rPr>
        <w:t>供应商</w:t>
      </w:r>
      <w:r>
        <w:rPr>
          <w:rFonts w:hint="eastAsia" w:ascii="宋体" w:hAnsi="宋体"/>
          <w:highlight w:val="none"/>
        </w:rPr>
        <w:t>应在响应文件递交截止时间前参与投标。</w:t>
      </w:r>
    </w:p>
    <w:p>
      <w:pPr>
        <w:tabs>
          <w:tab w:val="left" w:pos="530"/>
          <w:tab w:val="left" w:pos="738"/>
        </w:tabs>
        <w:spacing w:line="480" w:lineRule="auto"/>
        <w:rPr>
          <w:rFonts w:ascii="宋体" w:hAnsi="宋体"/>
          <w:szCs w:val="22"/>
          <w:highlight w:val="none"/>
        </w:rPr>
      </w:pPr>
      <w:r>
        <w:rPr>
          <w:rFonts w:hint="eastAsia" w:ascii="宋体" w:hAnsi="宋体"/>
          <w:szCs w:val="22"/>
          <w:highlight w:val="none"/>
        </w:rPr>
        <w:t>三、获取采购文件：</w:t>
      </w:r>
    </w:p>
    <w:p>
      <w:pPr>
        <w:tabs>
          <w:tab w:val="left" w:pos="530"/>
        </w:tabs>
        <w:snapToGrid w:val="0"/>
        <w:spacing w:line="480" w:lineRule="auto"/>
        <w:ind w:left="106" w:firstLine="210" w:firstLineChars="100"/>
        <w:rPr>
          <w:rFonts w:hint="eastAsia" w:ascii="宋体" w:hAnsi="宋体" w:eastAsia="宋体"/>
          <w:szCs w:val="21"/>
          <w:highlight w:val="none"/>
          <w:lang w:val="en-US" w:eastAsia="zh-CN"/>
        </w:rPr>
      </w:pPr>
      <w:r>
        <w:rPr>
          <w:rFonts w:hint="eastAsia" w:ascii="宋体" w:hAnsi="宋体"/>
          <w:szCs w:val="21"/>
          <w:highlight w:val="none"/>
        </w:rPr>
        <w:t>1、时间：2024年</w:t>
      </w:r>
      <w:r>
        <w:rPr>
          <w:rFonts w:hint="eastAsia" w:ascii="宋体" w:hAnsi="宋体"/>
          <w:szCs w:val="21"/>
          <w:highlight w:val="none"/>
          <w:lang w:val="en-US" w:eastAsia="zh-CN"/>
        </w:rPr>
        <w:t>3</w:t>
      </w:r>
      <w:r>
        <w:rPr>
          <w:rFonts w:hint="eastAsia" w:ascii="宋体" w:hAnsi="宋体"/>
          <w:szCs w:val="21"/>
          <w:highlight w:val="none"/>
        </w:rPr>
        <w:t>月</w:t>
      </w:r>
      <w:r>
        <w:rPr>
          <w:rFonts w:hint="eastAsia" w:ascii="宋体" w:hAnsi="宋体"/>
          <w:szCs w:val="21"/>
          <w:highlight w:val="none"/>
          <w:lang w:val="en-US" w:eastAsia="zh-CN"/>
        </w:rPr>
        <w:t>15</w:t>
      </w:r>
      <w:r>
        <w:rPr>
          <w:rFonts w:hint="eastAsia" w:ascii="宋体" w:hAnsi="宋体"/>
          <w:szCs w:val="21"/>
          <w:highlight w:val="none"/>
        </w:rPr>
        <w:t>日至2024年</w:t>
      </w:r>
      <w:r>
        <w:rPr>
          <w:rFonts w:hint="eastAsia" w:ascii="宋体" w:hAnsi="宋体"/>
          <w:szCs w:val="21"/>
          <w:highlight w:val="none"/>
          <w:lang w:val="en-US" w:eastAsia="zh-CN"/>
        </w:rPr>
        <w:t>3</w:t>
      </w:r>
      <w:r>
        <w:rPr>
          <w:rFonts w:hint="eastAsia" w:ascii="宋体" w:hAnsi="宋体"/>
          <w:szCs w:val="21"/>
          <w:highlight w:val="none"/>
        </w:rPr>
        <w:t>月</w:t>
      </w:r>
      <w:r>
        <w:rPr>
          <w:rFonts w:hint="eastAsia" w:ascii="宋体" w:hAnsi="宋体"/>
          <w:szCs w:val="21"/>
          <w:highlight w:val="none"/>
          <w:lang w:val="en-US" w:eastAsia="zh-CN"/>
        </w:rPr>
        <w:t>22</w:t>
      </w:r>
      <w:r>
        <w:rPr>
          <w:rFonts w:hint="eastAsia" w:ascii="宋体" w:hAnsi="宋体"/>
          <w:szCs w:val="21"/>
          <w:highlight w:val="none"/>
        </w:rPr>
        <w:t>日办公时间内（法定节假日除外 ）</w:t>
      </w:r>
      <w:r>
        <w:rPr>
          <w:rFonts w:hint="eastAsia" w:ascii="宋体" w:hAnsi="宋体"/>
          <w:szCs w:val="21"/>
          <w:highlight w:val="none"/>
          <w:lang w:eastAsia="zh-CN"/>
        </w:rPr>
        <w:t>。</w:t>
      </w:r>
    </w:p>
    <w:p>
      <w:pPr>
        <w:tabs>
          <w:tab w:val="left" w:pos="530"/>
        </w:tabs>
        <w:snapToGrid w:val="0"/>
        <w:spacing w:line="480" w:lineRule="auto"/>
        <w:ind w:left="106" w:firstLine="210" w:firstLineChars="100"/>
        <w:rPr>
          <w:rFonts w:hint="eastAsia" w:ascii="宋体" w:hAnsi="宋体"/>
          <w:szCs w:val="21"/>
          <w:highlight w:val="none"/>
        </w:rPr>
      </w:pPr>
      <w:r>
        <w:rPr>
          <w:rFonts w:hint="eastAsia" w:ascii="宋体" w:hAnsi="宋体"/>
          <w:szCs w:val="21"/>
          <w:highlight w:val="none"/>
        </w:rPr>
        <w:t>2、方式：现场购买或线上购买，售价：400元。购买磋商文件时请提交以下资料复印件并加盖公章：有效的①营业执照副本、②</w:t>
      </w:r>
      <w:r>
        <w:rPr>
          <w:rFonts w:hint="eastAsia" w:ascii="宋体" w:hAnsi="宋体"/>
          <w:szCs w:val="21"/>
          <w:highlight w:val="none"/>
          <w:lang w:val="en-US" w:eastAsia="zh-CN"/>
        </w:rPr>
        <w:t>资质证书</w:t>
      </w:r>
      <w:r>
        <w:rPr>
          <w:rFonts w:hint="eastAsia" w:ascii="宋体" w:hAnsi="宋体"/>
          <w:szCs w:val="21"/>
          <w:highlight w:val="none"/>
        </w:rPr>
        <w:t>、③</w:t>
      </w:r>
      <w:r>
        <w:rPr>
          <w:rFonts w:hint="eastAsia" w:ascii="宋体" w:hAnsi="宋体"/>
          <w:szCs w:val="21"/>
          <w:highlight w:val="none"/>
          <w:lang w:val="en-US" w:eastAsia="zh-CN"/>
        </w:rPr>
        <w:t>安全生产许可证、④</w:t>
      </w:r>
      <w:r>
        <w:rPr>
          <w:rFonts w:hint="eastAsia" w:ascii="宋体" w:hAnsi="宋体"/>
          <w:szCs w:val="21"/>
          <w:highlight w:val="none"/>
        </w:rPr>
        <w:t>经办人身份证。</w:t>
      </w:r>
    </w:p>
    <w:p>
      <w:pPr>
        <w:tabs>
          <w:tab w:val="left" w:pos="530"/>
        </w:tabs>
        <w:snapToGrid w:val="0"/>
        <w:spacing w:line="480" w:lineRule="auto"/>
        <w:ind w:left="106" w:firstLine="210" w:firstLineChars="100"/>
        <w:rPr>
          <w:rFonts w:hint="eastAsia" w:ascii="宋体" w:hAnsi="宋体"/>
          <w:szCs w:val="21"/>
          <w:highlight w:val="none"/>
        </w:rPr>
      </w:pPr>
      <w:r>
        <w:rPr>
          <w:rFonts w:hint="eastAsia" w:ascii="宋体" w:hAnsi="宋体"/>
          <w:szCs w:val="21"/>
          <w:highlight w:val="none"/>
        </w:rPr>
        <w:t>3、现场购买磋商文件方法：须把购买磋商文件全部资料原件提交到中山市南朗翠亨新区和信路18号翠亨大厦A栋13层，并完成现场购买磋商文件手续。</w:t>
      </w:r>
    </w:p>
    <w:p>
      <w:pPr>
        <w:tabs>
          <w:tab w:val="left" w:pos="530"/>
        </w:tabs>
        <w:snapToGrid w:val="0"/>
        <w:spacing w:line="480" w:lineRule="auto"/>
        <w:ind w:left="106" w:firstLine="210" w:firstLineChars="100"/>
        <w:rPr>
          <w:rFonts w:hint="eastAsia" w:ascii="宋体" w:hAnsi="宋体"/>
          <w:szCs w:val="21"/>
          <w:highlight w:val="none"/>
        </w:rPr>
      </w:pPr>
      <w:r>
        <w:rPr>
          <w:rFonts w:hint="eastAsia" w:ascii="宋体" w:hAnsi="宋体"/>
          <w:szCs w:val="21"/>
          <w:highlight w:val="none"/>
        </w:rPr>
        <w:t>4、线上购买磋商文件方法：下载《购买采购文件登记表》，填写信息后与需提交的资料一同扫描发送到我司指定电子邮箱：xingyuanxmgl@163.com，并完成线上购买磋商文件手续；完成手续后供应商须把购买磋商文件全部资料原件寄到我司，咨询电话：</w:t>
      </w:r>
      <w:r>
        <w:rPr>
          <w:rFonts w:hint="eastAsia" w:ascii="宋体" w:hAnsi="宋体"/>
          <w:szCs w:val="21"/>
          <w:highlight w:val="none"/>
          <w:lang w:val="en-US" w:eastAsia="zh-CN"/>
        </w:rPr>
        <w:t>15507658017</w:t>
      </w:r>
      <w:r>
        <w:rPr>
          <w:rFonts w:hint="eastAsia" w:ascii="宋体" w:hAnsi="宋体"/>
          <w:szCs w:val="21"/>
          <w:highlight w:val="none"/>
        </w:rPr>
        <w:t>。</w:t>
      </w:r>
    </w:p>
    <w:p>
      <w:pPr>
        <w:tabs>
          <w:tab w:val="left" w:pos="530"/>
        </w:tabs>
        <w:snapToGrid w:val="0"/>
        <w:spacing w:line="480" w:lineRule="auto"/>
        <w:ind w:left="106" w:firstLine="210" w:firstLineChars="100"/>
        <w:rPr>
          <w:rFonts w:ascii="宋体" w:hAnsi="宋体"/>
          <w:szCs w:val="21"/>
          <w:highlight w:val="none"/>
        </w:rPr>
      </w:pPr>
      <w:r>
        <w:rPr>
          <w:rFonts w:hint="eastAsia" w:ascii="宋体" w:hAnsi="宋体"/>
          <w:szCs w:val="21"/>
          <w:highlight w:val="none"/>
        </w:rPr>
        <w:t>5、凡已经购买磋商采购文件的单位，均被视为已充分理解本公告的有关要求，采购人及采购代理均无责任承担其是否符合合格供应商条件而引起的一切后果</w:t>
      </w:r>
      <w:r>
        <w:rPr>
          <w:rFonts w:ascii="宋体" w:hAnsi="宋体"/>
          <w:szCs w:val="21"/>
          <w:highlight w:val="none"/>
        </w:rPr>
        <w:t>。</w:t>
      </w:r>
    </w:p>
    <w:p>
      <w:pPr>
        <w:tabs>
          <w:tab w:val="left" w:pos="567"/>
          <w:tab w:val="left" w:pos="738"/>
        </w:tabs>
        <w:spacing w:line="480" w:lineRule="auto"/>
        <w:rPr>
          <w:rFonts w:ascii="宋体" w:hAnsi="宋体"/>
          <w:b/>
          <w:szCs w:val="21"/>
          <w:highlight w:val="none"/>
        </w:rPr>
      </w:pPr>
      <w:r>
        <w:rPr>
          <w:rStyle w:val="98"/>
          <w:rFonts w:hint="eastAsia" w:ascii="宋体" w:hAnsi="宋体"/>
          <w:szCs w:val="21"/>
          <w:highlight w:val="none"/>
        </w:rPr>
        <w:t>四、现场踏勘时间、地点：</w:t>
      </w:r>
      <w:r>
        <w:rPr>
          <w:rStyle w:val="98"/>
          <w:rFonts w:ascii="宋体" w:hAnsi="宋体"/>
          <w:szCs w:val="21"/>
          <w:highlight w:val="none"/>
        </w:rPr>
        <w:t>本项目不组织集中现场踏勘，</w:t>
      </w:r>
      <w:r>
        <w:rPr>
          <w:rFonts w:hint="eastAsia" w:ascii="宋体" w:hAnsi="宋体"/>
          <w:highlight w:val="none"/>
        </w:rPr>
        <w:t>供应商</w:t>
      </w:r>
      <w:r>
        <w:rPr>
          <w:rStyle w:val="98"/>
          <w:rFonts w:ascii="宋体" w:hAnsi="宋体"/>
          <w:szCs w:val="21"/>
          <w:highlight w:val="none"/>
        </w:rPr>
        <w:t>自行现场踏勘。</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五</w:t>
      </w:r>
      <w:r>
        <w:rPr>
          <w:rFonts w:hint="eastAsia" w:ascii="宋体" w:hAnsi="宋体"/>
          <w:szCs w:val="21"/>
          <w:highlight w:val="none"/>
        </w:rPr>
        <w:t>、递交响应文件时间：</w:t>
      </w:r>
      <w:r>
        <w:rPr>
          <w:rFonts w:hint="eastAsia" w:ascii="宋体" w:hAnsi="宋体"/>
          <w:highlight w:val="none"/>
        </w:rPr>
        <w:t>202</w:t>
      </w:r>
      <w:r>
        <w:rPr>
          <w:rFonts w:hint="eastAsia" w:ascii="宋体" w:hAnsi="宋体"/>
          <w:highlight w:val="none"/>
          <w:lang w:val="en-US" w:eastAsia="zh-CN"/>
        </w:rPr>
        <w:t>4</w:t>
      </w:r>
      <w:r>
        <w:rPr>
          <w:rFonts w:ascii="宋体" w:hAnsi="宋体"/>
          <w:highlight w:val="none"/>
        </w:rPr>
        <w:t>年</w:t>
      </w:r>
      <w:r>
        <w:rPr>
          <w:rFonts w:hint="eastAsia" w:ascii="宋体" w:hAnsi="宋体"/>
          <w:highlight w:val="none"/>
          <w:lang w:val="en-US" w:eastAsia="zh-CN"/>
        </w:rPr>
        <w:t>3</w:t>
      </w:r>
      <w:r>
        <w:rPr>
          <w:rFonts w:ascii="宋体" w:hAnsi="宋体"/>
          <w:highlight w:val="none"/>
        </w:rPr>
        <w:t>月</w:t>
      </w:r>
      <w:r>
        <w:rPr>
          <w:rFonts w:hint="eastAsia" w:ascii="宋体" w:hAnsi="宋体"/>
          <w:highlight w:val="none"/>
          <w:lang w:val="en-US" w:eastAsia="zh-CN"/>
        </w:rPr>
        <w:t>26</w:t>
      </w:r>
      <w:r>
        <w:rPr>
          <w:rFonts w:ascii="宋体" w:hAnsi="宋体"/>
          <w:highlight w:val="none"/>
        </w:rPr>
        <w:t>日</w:t>
      </w:r>
      <w:r>
        <w:rPr>
          <w:rFonts w:hint="eastAsia" w:ascii="宋体" w:hAnsi="宋体"/>
          <w:highlight w:val="none"/>
          <w:lang w:val="en-US" w:eastAsia="zh-CN"/>
        </w:rPr>
        <w:t>14</w:t>
      </w:r>
      <w:r>
        <w:rPr>
          <w:rFonts w:hint="eastAsia" w:ascii="宋体" w:hAnsi="宋体"/>
          <w:szCs w:val="21"/>
          <w:highlight w:val="none"/>
        </w:rPr>
        <w:t>时</w:t>
      </w:r>
      <w:r>
        <w:rPr>
          <w:rFonts w:hint="eastAsia" w:ascii="宋体" w:hAnsi="宋体"/>
          <w:szCs w:val="21"/>
          <w:highlight w:val="none"/>
          <w:lang w:val="en-US" w:eastAsia="zh-CN"/>
        </w:rPr>
        <w:t>30</w:t>
      </w:r>
      <w:r>
        <w:rPr>
          <w:rFonts w:hint="eastAsia" w:ascii="宋体" w:hAnsi="宋体"/>
          <w:szCs w:val="21"/>
          <w:highlight w:val="none"/>
        </w:rPr>
        <w:t>分至</w:t>
      </w:r>
      <w:r>
        <w:rPr>
          <w:rFonts w:hint="eastAsia" w:ascii="宋体" w:hAnsi="宋体"/>
          <w:szCs w:val="21"/>
          <w:highlight w:val="none"/>
          <w:lang w:val="en-US" w:eastAsia="zh-CN"/>
        </w:rPr>
        <w:t>15</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六</w:t>
      </w:r>
      <w:r>
        <w:rPr>
          <w:rFonts w:hint="eastAsia" w:ascii="宋体" w:hAnsi="宋体"/>
          <w:szCs w:val="21"/>
          <w:highlight w:val="none"/>
        </w:rPr>
        <w:t>、响应文件递交截止时间</w:t>
      </w:r>
      <w:r>
        <w:rPr>
          <w:rFonts w:ascii="宋体" w:hAnsi="宋体"/>
          <w:szCs w:val="21"/>
          <w:highlight w:val="none"/>
        </w:rPr>
        <w:t>：</w:t>
      </w:r>
      <w:r>
        <w:rPr>
          <w:rFonts w:hint="eastAsia" w:ascii="宋体" w:hAnsi="宋体"/>
          <w:highlight w:val="none"/>
        </w:rPr>
        <w:t>202</w:t>
      </w:r>
      <w:r>
        <w:rPr>
          <w:rFonts w:hint="eastAsia" w:ascii="宋体" w:hAnsi="宋体"/>
          <w:highlight w:val="none"/>
          <w:lang w:val="en-US" w:eastAsia="zh-CN"/>
        </w:rPr>
        <w:t>4</w:t>
      </w:r>
      <w:r>
        <w:rPr>
          <w:rFonts w:ascii="宋体" w:hAnsi="宋体"/>
          <w:highlight w:val="none"/>
        </w:rPr>
        <w:t>年</w:t>
      </w:r>
      <w:r>
        <w:rPr>
          <w:rFonts w:hint="eastAsia" w:ascii="宋体" w:hAnsi="宋体"/>
          <w:highlight w:val="none"/>
          <w:lang w:val="en-US" w:eastAsia="zh-CN"/>
        </w:rPr>
        <w:t>3</w:t>
      </w:r>
      <w:r>
        <w:rPr>
          <w:rFonts w:ascii="宋体" w:hAnsi="宋体"/>
          <w:highlight w:val="none"/>
        </w:rPr>
        <w:t>月</w:t>
      </w:r>
      <w:r>
        <w:rPr>
          <w:rFonts w:hint="eastAsia" w:ascii="宋体" w:hAnsi="宋体"/>
          <w:highlight w:val="none"/>
          <w:lang w:val="en-US" w:eastAsia="zh-CN"/>
        </w:rPr>
        <w:t>26</w:t>
      </w:r>
      <w:r>
        <w:rPr>
          <w:rFonts w:ascii="宋体" w:hAnsi="宋体"/>
          <w:highlight w:val="none"/>
        </w:rPr>
        <w:t>日</w:t>
      </w:r>
      <w:r>
        <w:rPr>
          <w:rFonts w:hint="eastAsia" w:ascii="宋体" w:hAnsi="宋体"/>
          <w:szCs w:val="21"/>
          <w:highlight w:val="none"/>
          <w:lang w:val="en-US" w:eastAsia="zh-CN"/>
        </w:rPr>
        <w:t>15</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、磋商时间：</w:t>
      </w:r>
      <w:r>
        <w:rPr>
          <w:rFonts w:hint="eastAsia" w:ascii="宋体" w:hAnsi="宋体"/>
          <w:highlight w:val="none"/>
        </w:rPr>
        <w:t>202</w:t>
      </w:r>
      <w:r>
        <w:rPr>
          <w:rFonts w:hint="eastAsia" w:ascii="宋体" w:hAnsi="宋体"/>
          <w:highlight w:val="none"/>
          <w:lang w:val="en-US" w:eastAsia="zh-CN"/>
        </w:rPr>
        <w:t>4</w:t>
      </w:r>
      <w:r>
        <w:rPr>
          <w:rFonts w:ascii="宋体" w:hAnsi="宋体"/>
          <w:highlight w:val="none"/>
        </w:rPr>
        <w:t>年</w:t>
      </w:r>
      <w:r>
        <w:rPr>
          <w:rFonts w:hint="eastAsia" w:ascii="宋体" w:hAnsi="宋体"/>
          <w:highlight w:val="none"/>
          <w:lang w:val="en-US" w:eastAsia="zh-CN"/>
        </w:rPr>
        <w:t>3</w:t>
      </w:r>
      <w:r>
        <w:rPr>
          <w:rFonts w:ascii="宋体" w:hAnsi="宋体"/>
          <w:highlight w:val="none"/>
        </w:rPr>
        <w:t>月</w:t>
      </w:r>
      <w:r>
        <w:rPr>
          <w:rFonts w:hint="eastAsia" w:ascii="宋体" w:hAnsi="宋体"/>
          <w:highlight w:val="none"/>
          <w:lang w:val="en-US" w:eastAsia="zh-CN"/>
        </w:rPr>
        <w:t>26</w:t>
      </w:r>
      <w:r>
        <w:rPr>
          <w:rFonts w:ascii="宋体" w:hAnsi="宋体"/>
          <w:highlight w:val="none"/>
        </w:rPr>
        <w:t>日</w:t>
      </w:r>
      <w:r>
        <w:rPr>
          <w:rFonts w:hint="eastAsia" w:ascii="宋体" w:hAnsi="宋体"/>
          <w:szCs w:val="21"/>
          <w:highlight w:val="none"/>
          <w:lang w:val="en-US" w:eastAsia="zh-CN"/>
        </w:rPr>
        <w:t>15</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八</w:t>
      </w:r>
      <w:r>
        <w:rPr>
          <w:rFonts w:hint="eastAsia" w:ascii="宋体" w:hAnsi="宋体"/>
          <w:szCs w:val="21"/>
          <w:highlight w:val="none"/>
        </w:rPr>
        <w:t>、报价文件递交地点及磋商地点：中山行远项目管理有限公司（详细地址：中山市南朗翠亨新区和信路18号翠亨大厦A栋13层），届时请供应商法定代表人或其授权代表人出席开标会。</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、采购人和采购代理机构将不承担</w:t>
      </w:r>
      <w:r>
        <w:rPr>
          <w:rFonts w:hint="eastAsia" w:ascii="宋体" w:hAnsi="宋体"/>
          <w:highlight w:val="none"/>
        </w:rPr>
        <w:t>供应商</w:t>
      </w:r>
      <w:r>
        <w:rPr>
          <w:rFonts w:hint="eastAsia" w:ascii="宋体" w:hAnsi="宋体"/>
          <w:szCs w:val="21"/>
          <w:highlight w:val="none"/>
        </w:rPr>
        <w:t>准备响应文件和递交响应文件以及参加本次磋商会议所发生的任何成本或费用。</w:t>
      </w:r>
    </w:p>
    <w:p>
      <w:pPr>
        <w:tabs>
          <w:tab w:val="left" w:pos="530"/>
          <w:tab w:val="left" w:pos="738"/>
        </w:tabs>
        <w:spacing w:line="480" w:lineRule="auto"/>
        <w:rPr>
          <w:rFonts w:ascii="宋体" w:hAnsi="宋体"/>
          <w:szCs w:val="21"/>
          <w:highlight w:val="none"/>
        </w:rPr>
      </w:pPr>
      <w:r>
        <w:rPr>
          <w:rFonts w:hint="eastAsia" w:ascii="宋体" w:hAnsi="宋体"/>
          <w:szCs w:val="21"/>
          <w:highlight w:val="none"/>
        </w:rPr>
        <w:t>十、采购人、采购代理机构的名称、地点和联系方式。</w:t>
      </w:r>
    </w:p>
    <w:p>
      <w:pPr>
        <w:spacing w:line="480" w:lineRule="auto"/>
        <w:ind w:firstLine="530"/>
        <w:rPr>
          <w:rFonts w:hint="eastAsia" w:ascii="宋体" w:hAnsi="宋体" w:eastAsia="宋体"/>
          <w:szCs w:val="21"/>
          <w:highlight w:val="none"/>
          <w:lang w:eastAsia="zh-CN"/>
        </w:rPr>
      </w:pPr>
      <w:bookmarkStart w:id="14" w:name="_Toc19124_WPSOffice_Level1"/>
      <w:bookmarkStart w:id="15" w:name="_Toc29578"/>
      <w:bookmarkStart w:id="16" w:name="_Toc6710"/>
      <w:r>
        <w:rPr>
          <w:rFonts w:hint="eastAsia" w:ascii="宋体" w:hAnsi="宋体"/>
          <w:szCs w:val="21"/>
          <w:highlight w:val="none"/>
        </w:rPr>
        <w:t>采购人：</w:t>
      </w:r>
      <w:bookmarkEnd w:id="14"/>
      <w:bookmarkEnd w:id="15"/>
      <w:bookmarkEnd w:id="16"/>
      <w:r>
        <w:rPr>
          <w:rFonts w:hint="eastAsia" w:ascii="宋体" w:hAnsi="宋体"/>
          <w:szCs w:val="21"/>
          <w:highlight w:val="none"/>
          <w:lang w:eastAsia="zh-CN"/>
        </w:rPr>
        <w:t>中山市民众街道民众社区居民委员会</w:t>
      </w:r>
    </w:p>
    <w:p>
      <w:pPr>
        <w:spacing w:line="480" w:lineRule="auto"/>
        <w:ind w:firstLine="525" w:firstLineChars="250"/>
        <w:rPr>
          <w:rFonts w:hint="eastAsia" w:ascii="宋体" w:hAnsi="宋体" w:eastAsia="宋体"/>
          <w:highlight w:val="none"/>
          <w:lang w:val="en-US" w:eastAsia="zh-CN"/>
        </w:rPr>
      </w:pPr>
      <w:r>
        <w:rPr>
          <w:rFonts w:hint="eastAsia" w:ascii="宋体" w:hAnsi="宋体"/>
          <w:highlight w:val="none"/>
        </w:rPr>
        <w:t>联系人：</w:t>
      </w:r>
      <w:r>
        <w:rPr>
          <w:rFonts w:hint="eastAsia" w:ascii="宋体" w:hAnsi="宋体"/>
          <w:highlight w:val="none"/>
          <w:lang w:val="en-US" w:eastAsia="zh-CN"/>
        </w:rPr>
        <w:t>李工</w:t>
      </w:r>
    </w:p>
    <w:p>
      <w:pPr>
        <w:spacing w:line="480" w:lineRule="auto"/>
        <w:ind w:firstLine="525" w:firstLineChars="250"/>
        <w:rPr>
          <w:rFonts w:hint="eastAsia" w:ascii="宋体" w:hAnsi="宋体" w:eastAsia="宋体"/>
          <w:highlight w:val="none"/>
          <w:lang w:eastAsia="zh-CN"/>
        </w:rPr>
      </w:pPr>
      <w:r>
        <w:rPr>
          <w:rFonts w:hint="eastAsia" w:ascii="宋体" w:hAnsi="宋体"/>
          <w:highlight w:val="none"/>
        </w:rPr>
        <w:t>电  话：</w:t>
      </w:r>
      <w:r>
        <w:rPr>
          <w:rFonts w:hint="eastAsia" w:ascii="宋体" w:hAnsi="宋体"/>
          <w:szCs w:val="22"/>
          <w:highlight w:val="none"/>
          <w:lang w:val="en-US" w:eastAsia="zh-CN"/>
        </w:rPr>
        <w:t>0760-85575606</w:t>
      </w:r>
    </w:p>
    <w:p>
      <w:pPr>
        <w:tabs>
          <w:tab w:val="left" w:pos="530"/>
        </w:tabs>
        <w:spacing w:line="480" w:lineRule="auto"/>
        <w:ind w:firstLine="420" w:firstLineChars="200"/>
        <w:rPr>
          <w:rFonts w:hint="eastAsia" w:ascii="宋体" w:hAnsi="宋体" w:eastAsia="宋体"/>
          <w:highlight w:val="none"/>
          <w:lang w:eastAsia="zh-CN"/>
        </w:rPr>
      </w:pPr>
      <w:bookmarkStart w:id="17" w:name="_Toc11672"/>
      <w:bookmarkStart w:id="18" w:name="_Toc5569_WPSOffice_Level1"/>
      <w:bookmarkStart w:id="19" w:name="_Toc27279"/>
      <w:r>
        <w:rPr>
          <w:rFonts w:hint="eastAsia" w:ascii="宋体" w:hAnsi="宋体"/>
          <w:highlight w:val="none"/>
        </w:rPr>
        <w:t>采购代理机构：</w:t>
      </w:r>
      <w:bookmarkEnd w:id="17"/>
      <w:bookmarkEnd w:id="18"/>
      <w:bookmarkEnd w:id="19"/>
      <w:r>
        <w:rPr>
          <w:rFonts w:hint="eastAsia" w:ascii="宋体" w:hAnsi="宋体"/>
          <w:highlight w:val="none"/>
          <w:lang w:eastAsia="zh-CN"/>
        </w:rPr>
        <w:t>中山行远项目管理有限公司</w:t>
      </w:r>
    </w:p>
    <w:p>
      <w:pPr>
        <w:spacing w:line="480" w:lineRule="auto"/>
        <w:ind w:firstLine="530"/>
        <w:rPr>
          <w:rFonts w:ascii="宋体" w:hAnsi="宋体"/>
          <w:szCs w:val="21"/>
          <w:highlight w:val="none"/>
        </w:rPr>
      </w:pPr>
      <w:r>
        <w:rPr>
          <w:rFonts w:hint="eastAsia" w:ascii="宋体" w:hAnsi="宋体"/>
          <w:szCs w:val="21"/>
          <w:highlight w:val="none"/>
        </w:rPr>
        <w:t>联系人：陈先生</w:t>
      </w:r>
    </w:p>
    <w:p>
      <w:pPr>
        <w:pStyle w:val="70"/>
        <w:jc w:val="left"/>
        <w:rPr>
          <w:rFonts w:hint="default" w:ascii="宋体" w:hAnsi="宋体" w:eastAsia="宋体"/>
          <w:b w:val="0"/>
          <w:sz w:val="21"/>
          <w:szCs w:val="21"/>
          <w:highlight w:val="none"/>
          <w:lang w:val="en-US" w:eastAsia="zh-CN"/>
        </w:rPr>
      </w:pPr>
      <w:r>
        <w:rPr>
          <w:rFonts w:hint="eastAsia" w:ascii="宋体" w:hAnsi="宋体" w:eastAsia="宋体"/>
          <w:b w:val="0"/>
          <w:sz w:val="21"/>
          <w:szCs w:val="21"/>
          <w:highlight w:val="none"/>
        </w:rPr>
        <w:t xml:space="preserve">     电  话：</w:t>
      </w:r>
      <w:r>
        <w:rPr>
          <w:rFonts w:hint="eastAsia" w:ascii="宋体" w:hAnsi="宋体" w:eastAsia="宋体"/>
          <w:b w:val="0"/>
          <w:sz w:val="21"/>
          <w:szCs w:val="21"/>
          <w:highlight w:val="none"/>
          <w:lang w:val="en-US" w:eastAsia="zh-CN"/>
        </w:rPr>
        <w:t>15507658017</w:t>
      </w:r>
    </w:p>
    <w:p>
      <w:pPr>
        <w:pStyle w:val="70"/>
        <w:jc w:val="left"/>
        <w:rPr>
          <w:rFonts w:ascii="宋体" w:hAnsi="宋体" w:eastAsia="宋体"/>
          <w:b w:val="0"/>
          <w:sz w:val="21"/>
          <w:szCs w:val="21"/>
          <w:highlight w:val="none"/>
        </w:rPr>
      </w:pPr>
      <w:r>
        <w:rPr>
          <w:rFonts w:hint="eastAsia" w:ascii="宋体" w:hAnsi="宋体" w:eastAsia="宋体"/>
          <w:b w:val="0"/>
          <w:sz w:val="21"/>
          <w:szCs w:val="21"/>
          <w:highlight w:val="none"/>
        </w:rPr>
        <w:t xml:space="preserve"> </w:t>
      </w:r>
    </w:p>
    <w:p>
      <w:pPr>
        <w:pStyle w:val="70"/>
        <w:jc w:val="left"/>
        <w:rPr>
          <w:rFonts w:ascii="宋体" w:hAnsi="宋体" w:eastAsia="宋体"/>
          <w:b w:val="0"/>
          <w:sz w:val="21"/>
          <w:szCs w:val="21"/>
          <w:highlight w:val="none"/>
        </w:rPr>
      </w:pPr>
    </w:p>
    <w:p>
      <w:pPr>
        <w:pStyle w:val="70"/>
        <w:wordWrap w:val="0"/>
        <w:jc w:val="right"/>
        <w:rPr>
          <w:rFonts w:hint="eastAsia" w:ascii="宋体" w:hAnsi="宋体" w:eastAsia="宋体"/>
          <w:b w:val="0"/>
          <w:sz w:val="21"/>
          <w:highlight w:val="none"/>
          <w:lang w:eastAsia="zh-CN"/>
        </w:rPr>
      </w:pPr>
    </w:p>
    <w:p>
      <w:pPr>
        <w:pStyle w:val="70"/>
        <w:wordWrap w:val="0"/>
        <w:jc w:val="right"/>
        <w:rPr>
          <w:rFonts w:hint="eastAsia" w:ascii="宋体" w:hAnsi="宋体" w:eastAsia="宋体"/>
          <w:b w:val="0"/>
          <w:sz w:val="21"/>
          <w:highlight w:val="none"/>
          <w:lang w:eastAsia="zh-CN"/>
        </w:rPr>
      </w:pPr>
      <w:r>
        <w:rPr>
          <w:rFonts w:hint="eastAsia" w:ascii="宋体" w:hAnsi="宋体" w:eastAsia="宋体"/>
          <w:b w:val="0"/>
          <w:sz w:val="21"/>
          <w:highlight w:val="none"/>
          <w:lang w:eastAsia="zh-CN"/>
        </w:rPr>
        <w:t>中山行远项目管理有限公司</w:t>
      </w:r>
    </w:p>
    <w:p>
      <w:pPr>
        <w:pStyle w:val="70"/>
        <w:wordWrap w:val="0"/>
        <w:jc w:val="right"/>
        <w:rPr>
          <w:sz w:val="24"/>
          <w:szCs w:val="24"/>
          <w:highlight w:val="none"/>
        </w:rPr>
      </w:pPr>
      <w:r>
        <w:rPr>
          <w:rFonts w:hint="eastAsia" w:ascii="宋体" w:hAnsi="宋体" w:eastAsia="宋体"/>
          <w:b w:val="0"/>
          <w:sz w:val="21"/>
          <w:highlight w:val="none"/>
        </w:rPr>
        <w:t>202</w:t>
      </w:r>
      <w:r>
        <w:rPr>
          <w:rFonts w:hint="eastAsia" w:ascii="宋体" w:hAnsi="宋体" w:eastAsia="宋体"/>
          <w:b w:val="0"/>
          <w:sz w:val="21"/>
          <w:highlight w:val="none"/>
          <w:lang w:val="en-US" w:eastAsia="zh-CN"/>
        </w:rPr>
        <w:t>4</w:t>
      </w:r>
      <w:r>
        <w:rPr>
          <w:rFonts w:hint="eastAsia" w:ascii="宋体" w:hAnsi="宋体" w:eastAsia="宋体"/>
          <w:b w:val="0"/>
          <w:sz w:val="21"/>
          <w:highlight w:val="none"/>
        </w:rPr>
        <w:t>年</w:t>
      </w:r>
      <w:r>
        <w:rPr>
          <w:rFonts w:hint="eastAsia" w:ascii="宋体" w:hAnsi="宋体" w:eastAsia="宋体"/>
          <w:b w:val="0"/>
          <w:sz w:val="21"/>
          <w:highlight w:val="none"/>
          <w:lang w:val="en-US" w:eastAsia="zh-CN"/>
        </w:rPr>
        <w:t>3</w:t>
      </w:r>
      <w:r>
        <w:rPr>
          <w:rFonts w:hint="eastAsia" w:ascii="宋体" w:hAnsi="宋体" w:eastAsia="宋体"/>
          <w:b w:val="0"/>
          <w:sz w:val="21"/>
          <w:highlight w:val="none"/>
        </w:rPr>
        <w:t>月</w:t>
      </w:r>
      <w:r>
        <w:rPr>
          <w:sz w:val="24"/>
          <w:szCs w:val="24"/>
          <w:highlight w:val="none"/>
        </w:rPr>
        <w:br w:type="page"/>
      </w: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3"/>
        <w:jc w:val="center"/>
        <w:rPr>
          <w:sz w:val="44"/>
          <w:szCs w:val="44"/>
          <w:highlight w:val="none"/>
        </w:rPr>
      </w:pPr>
      <w:bookmarkStart w:id="20" w:name="_Toc19617"/>
      <w:bookmarkStart w:id="21" w:name="_Toc465353212"/>
      <w:bookmarkStart w:id="22" w:name="_Toc25104"/>
      <w:bookmarkStart w:id="23" w:name="_Toc2788"/>
      <w:bookmarkStart w:id="24" w:name="_Toc14972"/>
      <w:bookmarkStart w:id="25" w:name="_Toc28107"/>
      <w:r>
        <w:rPr>
          <w:rFonts w:hint="eastAsia"/>
          <w:sz w:val="44"/>
          <w:szCs w:val="44"/>
          <w:highlight w:val="none"/>
        </w:rPr>
        <w:t>第二部分   用 户 需 求 书</w:t>
      </w:r>
      <w:bookmarkEnd w:id="20"/>
      <w:bookmarkEnd w:id="21"/>
      <w:bookmarkEnd w:id="22"/>
      <w:bookmarkEnd w:id="23"/>
      <w:bookmarkEnd w:id="24"/>
      <w:bookmarkEnd w:id="25"/>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spacing w:line="360" w:lineRule="auto"/>
        <w:rPr>
          <w:rFonts w:ascii="宋体" w:hAnsi="宋体"/>
          <w:szCs w:val="21"/>
          <w:highlight w:val="none"/>
        </w:rPr>
      </w:pPr>
      <w:r>
        <w:rPr>
          <w:rFonts w:hint="eastAsia" w:ascii="宋体" w:hAnsi="宋体"/>
          <w:szCs w:val="21"/>
          <w:highlight w:val="none"/>
        </w:rPr>
        <w:br w:type="page"/>
      </w:r>
    </w:p>
    <w:p>
      <w:pPr>
        <w:pStyle w:val="3"/>
        <w:spacing w:line="360" w:lineRule="auto"/>
        <w:jc w:val="left"/>
        <w:rPr>
          <w:rFonts w:hint="eastAsia"/>
          <w:sz w:val="22"/>
          <w:szCs w:val="32"/>
          <w:highlight w:val="none"/>
          <w:lang w:eastAsia="zh-CN"/>
        </w:rPr>
      </w:pPr>
      <w:bookmarkStart w:id="26" w:name="_Toc10324"/>
    </w:p>
    <w:p>
      <w:pPr>
        <w:pStyle w:val="3"/>
        <w:pageBreakBefore w:val="0"/>
        <w:kinsoku/>
        <w:wordWrap/>
        <w:overflowPunct/>
        <w:topLinePunct w:val="0"/>
        <w:autoSpaceDE/>
        <w:autoSpaceDN/>
        <w:bidi w:val="0"/>
        <w:spacing w:line="360" w:lineRule="auto"/>
        <w:jc w:val="left"/>
        <w:textAlignment w:val="auto"/>
        <w:rPr>
          <w:sz w:val="22"/>
          <w:szCs w:val="32"/>
          <w:highlight w:val="none"/>
        </w:rPr>
      </w:pPr>
      <w:r>
        <w:rPr>
          <w:rFonts w:hint="eastAsia"/>
          <w:sz w:val="22"/>
          <w:szCs w:val="32"/>
          <w:highlight w:val="none"/>
          <w:lang w:eastAsia="zh-CN"/>
        </w:rPr>
        <w:t>一、</w:t>
      </w:r>
      <w:r>
        <w:rPr>
          <w:rFonts w:hint="eastAsia"/>
          <w:sz w:val="22"/>
          <w:szCs w:val="32"/>
          <w:highlight w:val="none"/>
        </w:rPr>
        <w:t>总则</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1、在磋商文件中凡有“★”标识的内容条款被视为重要的响应要求、技术指标要求和性能要求，供应商对此必须完全响应，这些要求不可以出现任何负偏离，如果出现负偏离则将被视为无效响应。</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bookmarkStart w:id="27" w:name="_Hlt14094356"/>
      <w:bookmarkEnd w:id="27"/>
      <w:r>
        <w:rPr>
          <w:rFonts w:hint="eastAsia" w:ascii="宋体" w:hAnsi="宋体" w:eastAsia="宋体" w:cs="宋体"/>
          <w:sz w:val="21"/>
          <w:szCs w:val="21"/>
          <w:highlight w:val="none"/>
        </w:rPr>
        <w:t>2、各供应商应结合相关文件及现场情况，充分考虑影响因素后进行报价。</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3、现场勘察：本项目不组织现场踏勘。供应商可根据自身需要决定是否踏勘现场，踏勘现场发生的所有费用由供应商自理。供应商自行负责在踏勘现场中所发生的人员伤亡和财产损失。 </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4、本项目成交供应商承担及负责磋商文件、工程量清单、图纸对成交供应商要求的一切事宜及责任。</w:t>
      </w:r>
    </w:p>
    <w:bookmarkEnd w:id="26"/>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二、项目说明</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1、项目名称：俊景路观景路改造提升</w:t>
      </w:r>
    </w:p>
    <w:p>
      <w:pPr>
        <w:pStyle w:val="2"/>
        <w:pageBreakBefore w:val="0"/>
        <w:kinsoku/>
        <w:wordWrap/>
        <w:overflowPunct/>
        <w:topLinePunct w:val="0"/>
        <w:autoSpaceDE/>
        <w:autoSpaceDN/>
        <w:bidi w:val="0"/>
        <w:spacing w:line="360" w:lineRule="auto"/>
        <w:ind w:firstLine="420" w:firstLineChars="200"/>
        <w:jc w:val="both"/>
        <w:textAlignment w:val="auto"/>
        <w:rPr>
          <w:rFonts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rPr>
        <w:t>项目实施地点：中山市民众镇</w:t>
      </w:r>
    </w:p>
    <w:p>
      <w:pPr>
        <w:pStyle w:val="2"/>
        <w:pageBreakBefore w:val="0"/>
        <w:kinsoku/>
        <w:wordWrap/>
        <w:overflowPunct/>
        <w:topLinePunct w:val="0"/>
        <w:autoSpaceDE/>
        <w:autoSpaceDN/>
        <w:bidi w:val="0"/>
        <w:spacing w:line="360" w:lineRule="auto"/>
        <w:ind w:firstLine="422" w:firstLineChars="200"/>
        <w:jc w:val="both"/>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rPr>
        <w:t>★3、最高限价为中介预算1963040.52元下浮12%，即1963040.52元×(1-12%)=1727475.66元。其中绿色施工安全防护措施费（不含税）为91288.19元。投标报价高于1727475.66元或者绿色施工安全防护措施费（不含税）低于91288.19元为无效报价</w:t>
      </w:r>
      <w:r>
        <w:rPr>
          <w:rFonts w:hint="eastAsia" w:ascii="宋体" w:hAnsi="宋体" w:eastAsia="宋体" w:cs="宋体"/>
          <w:b/>
          <w:bCs/>
          <w:sz w:val="21"/>
          <w:szCs w:val="21"/>
          <w:highlight w:val="none"/>
          <w:lang w:eastAsia="zh-CN"/>
        </w:rPr>
        <w:t>。</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4、采购人有权在签订合同时及在实施工程期间对项目方案作适当修改调整或对服务数量做适量增加或减少。</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5、本项目由成交人承包及负责磋商文件对成交人要求的一切事宜及责任。</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6、成交人必须保证按照施工合同约定完成施工合同范围内的全部内容，履行保修责任。如有违反，同意接受采购人违约处罚。</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7、本项目成交人不得转包或分包，否则，一经发现，视为违约，以“失信被执行人”上报相关主管部门予以诚信处理。</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三、项目内容</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工程量需求：详见中介预算（工程量清单）及施工图纸。</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四、工程质量标准及安全文明施工</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1、工程施工、验收要求本工程严格按国家、省、市现行的质量评定标准和施工验收规范、规程进行施工和验收。</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2、工程质量要求 </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成交人在施工中如果工程质量不符合设计要求的有关规定，经质监部门评定工程质量不合格者，采购人可以要求停工和返工，成交人必须立即执行，并承担由此产生的各种费用，工期不得顺延。如成交人拒不返工，或者经返工仍未能提供符合质量要求的合格工程的，采购人有权解除合同，无需支付剩余工程款，成交人应将已收取的工程款按照采购人要求限期内返还，拆除所有不符合要求的设备设施，并赔偿由此给采购人造成的一切损失（包括但不限于由于设备设施不符合相关标准造成第三方损害而采购人需要作出的赔偿、采取补救措施而支出的费用、律师费、鉴定费、评估费、诉讼费、差旅费、工期延误造成的损失等）。</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（2）工程质量：必须达到合格工程。</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（3）质保期：工程质量</w:t>
      </w:r>
      <w:r>
        <w:rPr>
          <w:rFonts w:hint="eastAsia" w:ascii="宋体" w:hAnsi="宋体" w:eastAsia="宋体" w:cs="宋体"/>
          <w:bCs/>
          <w:sz w:val="21"/>
          <w:szCs w:val="21"/>
          <w:highlight w:val="none"/>
        </w:rPr>
        <w:t>保修期为1年</w:t>
      </w:r>
      <w:r>
        <w:rPr>
          <w:rFonts w:hint="eastAsia" w:ascii="宋体" w:hAnsi="宋体" w:eastAsia="宋体" w:cs="宋体"/>
          <w:sz w:val="21"/>
          <w:szCs w:val="21"/>
          <w:highlight w:val="none"/>
        </w:rPr>
        <w:t>，由竣工交付使用之日起计算。</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3、工程保修服务及承诺：</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（1）成交人应加强对工程质量的监管，保证工程质量合格，在交付使用前发现问题并消除隐患。</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（2）在质保期内接到维修通知后1小时内响应，如有处理不当或延迟处理，采购人有权对成交人作相应处罚。</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不得擅自或随便更换项目负责人，更换前必须与采购人进行协商，且征得采购人同意才能更换，并做好备案。注：若出现下列情况，采购人有权向成交人追偿：1）属于施工质量责任，需返工或重修，但成交人没有及时进行，致使采购人另外聘请其他施工单位完成，所产生的费用由成交人负责。2）属于成交人职责范围的收尾工作或遗留问题，成交人没有按期完成或问题悬而未决，致使采购人代为支付费用的，有关款项由成交人负责。</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施工安全：切实做好安全生产各项防范措施，加强安全施工管理，严格按照国家及地方施工安全有关规定进行施工，施工期内不发生四级以上重大安全事故，轻伤事故率控制在3‰的范围内。如因措施不当造成人身安全或工伤死亡事故，一切责任由成交人负责。若造成重大安全事故的，采购人有权对承包人作工程总造价2‰的罚款，罚款总额不超过工程总造价10%。</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五、材料及设备要求</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1、本工程所用之材料按国家质量标准并符合本用户需求书的要求。</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ascii="宋体" w:hAnsi="宋体" w:eastAsia="宋体" w:cs="宋体"/>
          <w:sz w:val="21"/>
          <w:szCs w:val="21"/>
          <w:highlight w:val="none"/>
        </w:rPr>
        <w:t>2</w:t>
      </w:r>
      <w:r>
        <w:rPr>
          <w:rFonts w:hint="eastAsia" w:ascii="宋体" w:hAnsi="宋体" w:eastAsia="宋体" w:cs="宋体"/>
          <w:sz w:val="21"/>
          <w:szCs w:val="21"/>
          <w:highlight w:val="none"/>
        </w:rPr>
        <w:t>、招标范围之内工程所用材料及施工设备，由成交人自行采购解决。采购人协助提供水电接驳口，工程所需的一切水电费用由成交人承担。</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ascii="宋体" w:hAnsi="宋体" w:eastAsia="宋体" w:cs="宋体"/>
          <w:sz w:val="21"/>
          <w:szCs w:val="21"/>
          <w:highlight w:val="none"/>
        </w:rPr>
        <w:t>3</w:t>
      </w:r>
      <w:r>
        <w:rPr>
          <w:rFonts w:hint="eastAsia" w:ascii="宋体" w:hAnsi="宋体" w:eastAsia="宋体" w:cs="宋体"/>
          <w:sz w:val="21"/>
          <w:szCs w:val="21"/>
          <w:highlight w:val="none"/>
        </w:rPr>
        <w:t>、采购人保留对本工程使用之主要材料品质确认审查的权利及保留另行委托专业队伍对本工程进行独立检测的权利。</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六、项目管理要求</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1、成交人必须严格按照已经确认的成交人施工组织方案施工，并应接受监理单位对工程质量、工期、安全、文明施工、环保及工地纪律的管制。</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2、文件中承诺并选定的项目负责人及相应资质的专业技术、管理人员，在项目实施过程中应依时到场，未经采购人同意，成交人不得擅自撤离。</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成交人在项目施工期间，须严格遵守当地政府职能部门的各项规章制度，由于管理不善，导致政府职能部门的罚款和停工整改，由此发生的费用与损失由成交人自行承担，且采购人保留暂缓支付工程款的权利，以确保文明施工有效实行。</w:t>
      </w:r>
    </w:p>
    <w:p>
      <w:pPr>
        <w:pageBreakBefore w:val="0"/>
        <w:kinsoku/>
        <w:wordWrap/>
        <w:overflowPunct/>
        <w:topLinePunct w:val="0"/>
        <w:autoSpaceDE/>
        <w:autoSpaceDN/>
        <w:bidi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4、供应商应成立项目管理及施工组织机构</w:t>
      </w:r>
      <w:r>
        <w:rPr>
          <w:rFonts w:hint="eastAsia"/>
          <w:highlight w:val="none"/>
        </w:rPr>
        <w:t>。</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5、成交人在施工期间，必须建立施工安全用电制度，确保施工用电设备的完好无损，并设置漏电保护装置。</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七、报价要求</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1、本工程实行固定总价包干，要求包工、包料、包机械、包工期、包质量、包安全生产、包文明施工、包劳保、包验收、包保修等的承包方式。</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报价中必须包括工程量清单项目及施工图纸（含图纸上未表述的按工程量清单）所发生的人工费、材料费、机械费、管理费、利润、项目措施费、规费、税金、配合费、预留金、暂列金额以及施工合同包含的所有风险、责任等各项应有费用。工程量清单中未列明但相关的材料二次搬运、施工及生活交通租车、施工用水、生活用水、用电、发电台班及油料补贴、施工人工补贴、环境保护、所有检测与实验、临时设施费用、不可预见费用、进退场费用，包括所有一切可能产生的风险等进行充分考虑并报价。所有价格均应予以人民币报价，金额单位为元。</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八、工期要求</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自合同签订之日起60日历天内完成竣工验收(具体开工时间以开工令为准)。</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九、验收</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1、按国家、省、市现行行业标准进行验收。</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2、验收由采购人、成交人及相关人员依国家有关标准、合同及有关附件要求进行。</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3、因成交人原因工程质量达不到约定的质量标准，由成交人承担违约责任。</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4、验收完毕由采购人及成交人在验收报告上签名。</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十、工程进度款的支付方式</w:t>
      </w:r>
    </w:p>
    <w:p>
      <w:pPr>
        <w:pageBreakBefore w:val="0"/>
        <w:kinsoku/>
        <w:wordWrap/>
        <w:overflowPunct/>
        <w:topLinePunct w:val="0"/>
        <w:autoSpaceDE/>
        <w:autoSpaceDN/>
        <w:bidi w:val="0"/>
        <w:spacing w:line="360" w:lineRule="auto"/>
        <w:ind w:firstLine="420" w:firstLineChars="200"/>
        <w:textAlignment w:val="auto"/>
        <w:rPr>
          <w:rFonts w:hint="eastAsia" w:ascii="宋体" w:hAnsi="宋体" w:cs="宋体"/>
          <w:highlight w:val="none"/>
        </w:rPr>
      </w:pPr>
      <w:r>
        <w:rPr>
          <w:rFonts w:hint="eastAsia" w:ascii="宋体" w:hAnsi="宋体" w:cs="宋体"/>
          <w:highlight w:val="none"/>
        </w:rPr>
        <w:t>1、</w:t>
      </w:r>
      <w:r>
        <w:rPr>
          <w:rFonts w:hint="eastAsia" w:ascii="宋体" w:hAnsi="宋体" w:cs="宋体"/>
          <w:highlight w:val="none"/>
        </w:rPr>
        <w:t>本项目设工程预付款，预付款为合同价款的30%。扣回与还清：预付款在第一期工程进度款项中一次性抵扣完成。</w:t>
      </w:r>
    </w:p>
    <w:p>
      <w:pPr>
        <w:pageBreakBefore w:val="0"/>
        <w:kinsoku/>
        <w:wordWrap/>
        <w:overflowPunct/>
        <w:topLinePunct w:val="0"/>
        <w:autoSpaceDE/>
        <w:autoSpaceDN/>
        <w:bidi w:val="0"/>
        <w:spacing w:line="360"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2、工程施工进度款按当月完成工程价款的80%支付，工程竣工(交工、完工)验收后支付至合同价款的80%</w:t>
      </w:r>
      <w:r>
        <w:rPr>
          <w:rFonts w:hint="eastAsia" w:ascii="宋体" w:hAnsi="宋体" w:cs="宋体"/>
          <w:highlight w:val="none"/>
        </w:rPr>
        <w:t>，办理竣工结算审核后付至工程结算总额的97%，</w:t>
      </w:r>
      <w:r>
        <w:rPr>
          <w:rFonts w:hint="eastAsia" w:ascii="宋体" w:hAnsi="宋体" w:cs="宋体"/>
          <w:szCs w:val="21"/>
          <w:highlight w:val="none"/>
        </w:rPr>
        <w:t>余下</w:t>
      </w:r>
      <w:r>
        <w:rPr>
          <w:rFonts w:ascii="宋体" w:hAnsi="宋体" w:cs="宋体"/>
          <w:szCs w:val="21"/>
          <w:highlight w:val="none"/>
        </w:rPr>
        <w:t>3%</w:t>
      </w:r>
      <w:r>
        <w:rPr>
          <w:rFonts w:hint="eastAsia" w:ascii="宋体" w:hAnsi="宋体" w:cs="宋体"/>
          <w:szCs w:val="21"/>
          <w:highlight w:val="none"/>
        </w:rPr>
        <w:t>作为质量保证金，质保期满后30天内一次性付清（无息）。</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3、成交人在开工前必须完善开工手续，否则采购人有权拒付工程进度款。</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4、成交人应向采购人出具每次请款的相同请款金额的正式发票，并办理相关完税手续。 </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因采购人使用的是财政资金，采购人在前款规定的付款时间为向政府采购财政支付部门提出办理财政支付申请手续的时间（不含政府财政支付部门审核的时间），在规定时间内提出支付申请手续后即视为采购人已经按期支付。</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十一、竣工资料归档要求</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成交人的工程档案资料必须符合《建设工程文件归档整理范围（</w:t>
      </w:r>
      <w:r>
        <w:rPr>
          <w:rFonts w:ascii="宋体" w:hAnsi="宋体" w:eastAsia="宋体" w:cs="宋体"/>
          <w:sz w:val="21"/>
          <w:szCs w:val="21"/>
          <w:highlight w:val="none"/>
        </w:rPr>
        <w:t>GB-50328-2001</w:t>
      </w:r>
      <w:r>
        <w:rPr>
          <w:rFonts w:hint="eastAsia" w:ascii="宋体" w:hAnsi="宋体" w:eastAsia="宋体" w:cs="宋体"/>
          <w:sz w:val="21"/>
          <w:szCs w:val="21"/>
          <w:highlight w:val="none"/>
        </w:rPr>
        <w:t>）》的相关规定，在工程施工过程应及时做好收集、汇总和整理工作。竣工验收报告经采购人认可后60天内须提供三套完整的竣工结算报告及竣工资料，否则扣减工程结算总造价的</w:t>
      </w:r>
      <w:r>
        <w:rPr>
          <w:rFonts w:ascii="宋体" w:hAnsi="宋体" w:eastAsia="宋体" w:cs="宋体"/>
          <w:sz w:val="21"/>
          <w:szCs w:val="21"/>
          <w:highlight w:val="none"/>
        </w:rPr>
        <w:t>3%</w:t>
      </w:r>
      <w:r>
        <w:rPr>
          <w:rFonts w:hint="eastAsia" w:ascii="宋体" w:hAnsi="宋体" w:eastAsia="宋体" w:cs="宋体"/>
          <w:sz w:val="21"/>
          <w:szCs w:val="21"/>
          <w:highlight w:val="none"/>
        </w:rPr>
        <w:t>作为处罚，最高扣减不超过</w:t>
      </w:r>
      <w:r>
        <w:rPr>
          <w:rFonts w:ascii="宋体" w:hAnsi="宋体" w:eastAsia="宋体" w:cs="宋体"/>
          <w:sz w:val="21"/>
          <w:szCs w:val="21"/>
          <w:highlight w:val="none"/>
        </w:rPr>
        <w:t>10</w:t>
      </w:r>
      <w:r>
        <w:rPr>
          <w:rFonts w:hint="eastAsia" w:ascii="宋体" w:hAnsi="宋体" w:eastAsia="宋体" w:cs="宋体"/>
          <w:sz w:val="21"/>
          <w:szCs w:val="21"/>
          <w:highlight w:val="none"/>
        </w:rPr>
        <w:t xml:space="preserve">万元；若成交人无法提供竣工资料，采购人可拒绝办理工程竣工结算。 </w:t>
      </w:r>
    </w:p>
    <w:p>
      <w:pPr>
        <w:pStyle w:val="2"/>
        <w:pageBreakBefore w:val="0"/>
        <w:kinsoku/>
        <w:wordWrap/>
        <w:overflowPunct/>
        <w:topLinePunct w:val="0"/>
        <w:autoSpaceDE/>
        <w:autoSpaceDN/>
        <w:bidi w:val="0"/>
        <w:spacing w:line="360" w:lineRule="auto"/>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十二、其它要求</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成交人需负责办理本项目施工所需各种证件、批件和其他审批手续和所有报批、报建手续及负责相关验收准备工作，并负责各类补偿、管理和维护等工作，所需费用在报价清单中有单独报价项目的，按相应报价包干使用，没有单独报价项目的，视为已在综合单价中考虑，采购人不另行支付任何费用。</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成交人对实施和完成本合同工程的一切施工作业（尤其是存在震动的施工作业以及需要临时改变当地交通、灌溉、排水现状的施工作业）有责任采取足够的预防措施，以保证不影响临近建筑物、构造物的安全与正常使用，不对群众的财产造成损失，也不干扰群众的生产、生活和通行方便（难以避免的一定程度的干扰除外），如发生上述情况，并由此导致索赔、赔偿、诉讼费用及其他开支时，应由成交人承担一切责任及费用。成交人在报价和组织施工时应充分考虑这一因素。</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成交人在报价前应对所投合同段地形、地质、施工条件等情况有充分的了解、掌握。在开工前，采购人和成交人不再对计算工程量所依据的地形、地质资料进行复测、复钻，由于地形、地质及施工条件等情况变化引起的风险由成交人承担，并在成交人的报价中反映。进场后不予复核，工程量按设计内容包干完成。</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4、本项目采购人不提供施工所需的食宿、办公、临设及材料加工场地，均由成交人自行解决，其费用由成交人自理。</w:t>
      </w:r>
    </w:p>
    <w:p>
      <w:pPr>
        <w:pStyle w:val="2"/>
        <w:pageBreakBefore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5、成交人应注意施工安全，做好安全文明施工工作，如因措施不当造成人身安全或工伤死亡事故，一切责任由成交人负责。</w:t>
      </w:r>
    </w:p>
    <w:p>
      <w:pPr>
        <w:pageBreakBefore w:val="0"/>
        <w:kinsoku/>
        <w:wordWrap/>
        <w:overflowPunct/>
        <w:topLinePunct w:val="0"/>
        <w:autoSpaceDE/>
        <w:autoSpaceDN/>
        <w:bidi w:val="0"/>
        <w:spacing w:line="360" w:lineRule="auto"/>
        <w:jc w:val="both"/>
        <w:textAlignment w:val="auto"/>
        <w:rPr>
          <w:rFonts w:hint="eastAsia" w:ascii="宋体" w:hAnsi="宋体" w:cs="宋体"/>
          <w:b/>
          <w:bCs/>
          <w:szCs w:val="21"/>
          <w:highlight w:val="none"/>
        </w:rPr>
      </w:pPr>
      <w:r>
        <w:rPr>
          <w:rFonts w:hint="eastAsia" w:ascii="宋体" w:hAnsi="宋体" w:cs="宋体"/>
          <w:b/>
          <w:bCs/>
          <w:szCs w:val="21"/>
          <w:highlight w:val="none"/>
        </w:rPr>
        <w:t>十三、采购人配合条件</w:t>
      </w:r>
    </w:p>
    <w:p>
      <w:pPr>
        <w:pageBreakBefore w:val="0"/>
        <w:tabs>
          <w:tab w:val="left" w:pos="636"/>
        </w:tabs>
        <w:kinsoku/>
        <w:wordWrap/>
        <w:overflowPunct/>
        <w:topLinePunct w:val="0"/>
        <w:autoSpaceDE/>
        <w:autoSpaceDN/>
        <w:bidi w:val="0"/>
        <w:spacing w:line="360" w:lineRule="auto"/>
        <w:ind w:left="-61" w:leftChars="-29" w:firstLine="315" w:firstLineChars="150"/>
        <w:textAlignment w:val="auto"/>
        <w:rPr>
          <w:rFonts w:hint="eastAsia"/>
          <w:color w:val="auto"/>
          <w:highlight w:val="none"/>
        </w:rPr>
      </w:pPr>
      <w:r>
        <w:rPr>
          <w:rFonts w:hint="eastAsia" w:ascii="宋体" w:hAnsi="宋体" w:cs="宋体"/>
          <w:szCs w:val="21"/>
          <w:highlight w:val="none"/>
        </w:rPr>
        <w:t>供应商在响应文件中要列明在项目实施过程中要求采购人提供的配合条件，采购人视实际情况给予协助提供</w:t>
      </w:r>
      <w:r>
        <w:rPr>
          <w:rFonts w:hint="eastAsia" w:ascii="宋体" w:hAnsi="宋体" w:cs="宋体"/>
          <w:color w:val="auto"/>
          <w:szCs w:val="21"/>
          <w:highlight w:val="none"/>
        </w:rPr>
        <w:t>。</w:t>
      </w:r>
    </w:p>
    <w:p>
      <w:pPr>
        <w:rPr>
          <w:highlight w:val="none"/>
        </w:rPr>
      </w:pPr>
    </w:p>
    <w:p>
      <w:pPr>
        <w:spacing w:line="360" w:lineRule="auto"/>
        <w:ind w:firstLine="420" w:firstLineChars="200"/>
        <w:rPr>
          <w:rFonts w:ascii="宋体" w:hAnsi="宋体"/>
          <w:szCs w:val="21"/>
          <w:highlight w:val="none"/>
        </w:rPr>
      </w:pPr>
      <w:r>
        <w:rPr>
          <w:rFonts w:hint="eastAsia" w:ascii="宋体" w:hAnsi="宋体"/>
          <w:szCs w:val="21"/>
          <w:highlight w:val="none"/>
        </w:rPr>
        <w:br w:type="page"/>
      </w:r>
    </w:p>
    <w:p>
      <w:pPr>
        <w:pStyle w:val="3"/>
        <w:rPr>
          <w:sz w:val="44"/>
          <w:szCs w:val="44"/>
          <w:highlight w:val="none"/>
        </w:rPr>
      </w:pPr>
      <w:bookmarkStart w:id="28" w:name="_Toc28436"/>
      <w:bookmarkStart w:id="29" w:name="_Toc11878"/>
      <w:bookmarkStart w:id="30" w:name="_Toc5136"/>
      <w:bookmarkStart w:id="31" w:name="_Toc2040"/>
      <w:bookmarkStart w:id="32" w:name="_Toc465353213"/>
    </w:p>
    <w:p>
      <w:pPr>
        <w:pStyle w:val="3"/>
        <w:jc w:val="center"/>
        <w:rPr>
          <w:sz w:val="44"/>
          <w:szCs w:val="44"/>
          <w:highlight w:val="none"/>
        </w:rPr>
      </w:pPr>
    </w:p>
    <w:p>
      <w:pPr>
        <w:pStyle w:val="3"/>
        <w:jc w:val="center"/>
        <w:rPr>
          <w:sz w:val="44"/>
          <w:szCs w:val="44"/>
          <w:highlight w:val="none"/>
        </w:rPr>
      </w:pPr>
    </w:p>
    <w:p>
      <w:pPr>
        <w:pStyle w:val="3"/>
        <w:jc w:val="center"/>
        <w:rPr>
          <w:sz w:val="44"/>
          <w:szCs w:val="44"/>
          <w:highlight w:val="none"/>
        </w:rPr>
      </w:pPr>
    </w:p>
    <w:p>
      <w:pPr>
        <w:pStyle w:val="3"/>
        <w:jc w:val="center"/>
        <w:rPr>
          <w:sz w:val="44"/>
          <w:szCs w:val="44"/>
          <w:highlight w:val="none"/>
        </w:rPr>
      </w:pPr>
      <w:bookmarkStart w:id="33" w:name="_Toc25297"/>
      <w:r>
        <w:rPr>
          <w:rFonts w:hint="eastAsia"/>
          <w:sz w:val="44"/>
          <w:szCs w:val="44"/>
          <w:highlight w:val="none"/>
        </w:rPr>
        <w:t>第三部分 供 应 商 须 知</w:t>
      </w:r>
      <w:bookmarkEnd w:id="28"/>
      <w:bookmarkEnd w:id="29"/>
      <w:bookmarkEnd w:id="33"/>
    </w:p>
    <w:p>
      <w:pPr>
        <w:pStyle w:val="4"/>
        <w:rPr>
          <w:color w:val="auto"/>
          <w:highlight w:val="none"/>
        </w:rPr>
      </w:pPr>
      <w:r>
        <w:rPr>
          <w:color w:val="auto"/>
          <w:sz w:val="24"/>
          <w:highlight w:val="none"/>
        </w:rPr>
        <w:br w:type="page"/>
      </w:r>
      <w:bookmarkStart w:id="34" w:name="_Hlt507989741"/>
      <w:bookmarkEnd w:id="34"/>
      <w:bookmarkStart w:id="35" w:name="_Toc21521"/>
      <w:bookmarkStart w:id="36" w:name="_Toc3256"/>
      <w:bookmarkStart w:id="37" w:name="_Toc22901_WPSOffice_Level2"/>
      <w:bookmarkStart w:id="38" w:name="_Toc15389"/>
      <w:bookmarkStart w:id="39" w:name="_Toc465353214"/>
      <w:r>
        <w:rPr>
          <w:rFonts w:hint="eastAsia"/>
          <w:color w:val="auto"/>
          <w:highlight w:val="none"/>
        </w:rPr>
        <w:t>（一）总  则</w:t>
      </w:r>
      <w:bookmarkEnd w:id="30"/>
      <w:bookmarkEnd w:id="31"/>
      <w:bookmarkEnd w:id="32"/>
      <w:bookmarkEnd w:id="35"/>
      <w:bookmarkEnd w:id="36"/>
      <w:bookmarkEnd w:id="37"/>
      <w:bookmarkEnd w:id="38"/>
      <w:bookmarkEnd w:id="39"/>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说明</w:t>
      </w:r>
    </w:p>
    <w:p>
      <w:pPr>
        <w:numPr>
          <w:ilvl w:val="1"/>
          <w:numId w:val="3"/>
        </w:numPr>
        <w:tabs>
          <w:tab w:val="left" w:pos="851"/>
          <w:tab w:val="clear" w:pos="680"/>
        </w:tabs>
        <w:snapToGrid w:val="0"/>
        <w:spacing w:line="460" w:lineRule="exact"/>
        <w:ind w:left="851" w:hanging="851"/>
        <w:rPr>
          <w:rFonts w:ascii="宋体" w:hAnsi="宋体" w:cs="Arial"/>
          <w:highlight w:val="none"/>
        </w:rPr>
      </w:pPr>
      <w:r>
        <w:rPr>
          <w:rFonts w:hint="eastAsia" w:ascii="宋体" w:hAnsi="宋体"/>
          <w:highlight w:val="none"/>
        </w:rPr>
        <w:t>磋商范围：见本磋商采购文件第二部分《用户需求书》。</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ighlight w:val="none"/>
        </w:rPr>
        <w:t>在磋商采购文件中凡有“★”标识的内容</w:t>
      </w:r>
      <w:r>
        <w:rPr>
          <w:rFonts w:hint="eastAsia" w:ascii="宋体" w:hAnsi="宋体"/>
          <w:szCs w:val="21"/>
          <w:highlight w:val="none"/>
        </w:rPr>
        <w:t>条款被视为重要的响应要求、技术指标要求和性能要求。供应商必须对此作出回答并完全满足这些要求不可以出现任何偏离，如果出现偏离则将被视为无效报价。</w:t>
      </w:r>
    </w:p>
    <w:p>
      <w:pPr>
        <w:tabs>
          <w:tab w:val="left" w:pos="530"/>
        </w:tabs>
        <w:spacing w:line="360" w:lineRule="auto"/>
        <w:ind w:left="840" w:hanging="840" w:hangingChars="400"/>
        <w:rPr>
          <w:rFonts w:ascii="宋体" w:hAnsi="宋体"/>
          <w:kern w:val="28"/>
          <w:szCs w:val="21"/>
          <w:highlight w:val="none"/>
        </w:rPr>
      </w:pPr>
      <w:r>
        <w:rPr>
          <w:rFonts w:hint="eastAsia" w:ascii="宋体" w:hAnsi="宋体"/>
          <w:highlight w:val="none"/>
        </w:rPr>
        <w:t>⑶     ★</w:t>
      </w:r>
      <w:r>
        <w:rPr>
          <w:rFonts w:hint="eastAsia" w:ascii="宋体" w:hAnsi="宋体"/>
          <w:b/>
          <w:bCs/>
          <w:kern w:val="28"/>
          <w:szCs w:val="21"/>
          <w:highlight w:val="none"/>
        </w:rPr>
        <w:t>最高限价为中介预算1963040.52元下浮12%，即1963040.52元×(1-12%)=1727475.66元。其中绿色施工安全防护措施费（不含税）为91288.19元。投标报价高于1727475.66元或者绿色施工安全防护措施费（不含税）低于91288.19元为无效报价</w:t>
      </w:r>
      <w:r>
        <w:rPr>
          <w:rFonts w:hint="eastAsia"/>
          <w:b/>
          <w:bCs/>
          <w:highlight w:val="none"/>
        </w:rPr>
        <w:t>。</w:t>
      </w:r>
    </w:p>
    <w:p>
      <w:pPr>
        <w:tabs>
          <w:tab w:val="left" w:pos="851"/>
        </w:tabs>
        <w:snapToGrid w:val="0"/>
        <w:spacing w:line="360" w:lineRule="auto"/>
        <w:rPr>
          <w:rFonts w:ascii="宋体" w:hAnsi="宋体"/>
          <w:highlight w:val="none"/>
        </w:rPr>
      </w:pPr>
      <w:r>
        <w:rPr>
          <w:rFonts w:hint="eastAsia" w:ascii="宋体" w:hAnsi="宋体"/>
          <w:highlight w:val="none"/>
        </w:rPr>
        <w:t>⑷    ★供应商必须在采购代理机构处购买采购文件。</w:t>
      </w:r>
    </w:p>
    <w:p>
      <w:pPr>
        <w:tabs>
          <w:tab w:val="left" w:pos="870"/>
        </w:tabs>
        <w:snapToGrid w:val="0"/>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定义及解释</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szCs w:val="21"/>
          <w:highlight w:val="none"/>
        </w:rPr>
        <w:t>工程：指</w:t>
      </w:r>
      <w:r>
        <w:rPr>
          <w:rFonts w:hint="eastAsia" w:ascii="宋体" w:hAnsi="宋体"/>
          <w:highlight w:val="none"/>
        </w:rPr>
        <w:t>供应商</w:t>
      </w:r>
      <w:r>
        <w:rPr>
          <w:rFonts w:hint="eastAsia"/>
          <w:szCs w:val="21"/>
          <w:highlight w:val="none"/>
        </w:rPr>
        <w:t>为</w:t>
      </w:r>
      <w:r>
        <w:rPr>
          <w:rFonts w:hint="eastAsia"/>
          <w:highlight w:val="none"/>
        </w:rPr>
        <w:t>满足《用户需求书》要求而提供</w:t>
      </w:r>
      <w:r>
        <w:rPr>
          <w:rFonts w:hint="eastAsia"/>
          <w:szCs w:val="21"/>
          <w:highlight w:val="none"/>
        </w:rPr>
        <w:t>的所有工程</w:t>
      </w:r>
      <w:r>
        <w:rPr>
          <w:rFonts w:hint="eastAsia" w:cs="宋体"/>
          <w:highlight w:val="none"/>
        </w:rPr>
        <w:t>施工</w:t>
      </w:r>
      <w:r>
        <w:rPr>
          <w:rFonts w:hint="eastAsia"/>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货物：指所有的由</w:t>
      </w:r>
      <w:r>
        <w:rPr>
          <w:rFonts w:hint="eastAsia" w:ascii="宋体" w:hAnsi="宋体"/>
          <w:highlight w:val="none"/>
        </w:rPr>
        <w:t>供应商</w:t>
      </w:r>
      <w:r>
        <w:rPr>
          <w:rFonts w:hint="eastAsia" w:ascii="宋体" w:hAnsi="宋体"/>
          <w:szCs w:val="21"/>
          <w:highlight w:val="none"/>
        </w:rPr>
        <w:t>为满足磋商采购文件要求而提供的</w:t>
      </w:r>
      <w:r>
        <w:rPr>
          <w:rFonts w:hint="eastAsia" w:ascii="宋体"/>
          <w:highlight w:val="none"/>
        </w:rPr>
        <w:t>材料、设备、产品、仪表、工具、备件、图纸和其它材料</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服务：</w:t>
      </w:r>
      <w:r>
        <w:rPr>
          <w:rFonts w:hint="eastAsia" w:ascii="宋体"/>
          <w:highlight w:val="none"/>
        </w:rPr>
        <w:t>指</w:t>
      </w:r>
      <w:r>
        <w:rPr>
          <w:rFonts w:hint="eastAsia" w:ascii="宋体" w:hAnsi="宋体"/>
          <w:highlight w:val="none"/>
        </w:rPr>
        <w:t>供应商</w:t>
      </w:r>
      <w:r>
        <w:rPr>
          <w:rFonts w:hint="eastAsia" w:ascii="宋体"/>
          <w:highlight w:val="none"/>
        </w:rPr>
        <w:t>提供的实施方案设计、现场勘察、施工图设计、联络、培训、安装、调试、验收、保障服务、技术支持及与货物有关的运输和保险以及其他伴随服务</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采购人：</w:t>
      </w:r>
      <w:r>
        <w:rPr>
          <w:rFonts w:hint="eastAsia" w:ascii="宋体" w:hAnsi="宋体"/>
          <w:szCs w:val="21"/>
          <w:highlight w:val="none"/>
          <w:lang w:eastAsia="zh-CN"/>
        </w:rPr>
        <w:t>中山市民众街道民众社区居民委员会</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highlight w:val="none"/>
        </w:rPr>
        <w:t>供应商</w:t>
      </w:r>
      <w:r>
        <w:rPr>
          <w:rFonts w:hint="eastAsia" w:ascii="宋体" w:hAnsi="宋体"/>
          <w:szCs w:val="21"/>
          <w:highlight w:val="none"/>
        </w:rPr>
        <w:t>：</w:t>
      </w:r>
      <w:r>
        <w:rPr>
          <w:rFonts w:hint="eastAsia" w:ascii="宋体" w:hAnsi="宋体"/>
          <w:highlight w:val="none"/>
        </w:rPr>
        <w:t>供应商</w:t>
      </w:r>
      <w:r>
        <w:rPr>
          <w:rFonts w:hint="eastAsia" w:ascii="宋体" w:hAnsi="宋体"/>
          <w:szCs w:val="21"/>
          <w:highlight w:val="none"/>
        </w:rPr>
        <w:t>是响应磋商、参加报价的</w:t>
      </w:r>
      <w:r>
        <w:rPr>
          <w:rFonts w:hint="eastAsia" w:ascii="宋体" w:hAnsi="宋体"/>
          <w:highlight w:val="none"/>
        </w:rPr>
        <w:t>中华人民共和国境内的法人、其它组织或者自然人。本次磋商对合格供应商的具体要求见本须知第3条。</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szCs w:val="21"/>
          <w:highlight w:val="none"/>
        </w:rPr>
        <w:t>监管部门：</w:t>
      </w:r>
      <w:r>
        <w:rPr>
          <w:rFonts w:hint="eastAsia" w:ascii="宋体"/>
          <w:szCs w:val="21"/>
          <w:highlight w:val="none"/>
          <w:lang w:eastAsia="zh-CN"/>
        </w:rPr>
        <w:t>中山市民众街道民众社区居民委员会</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采购代理机构：</w:t>
      </w:r>
      <w:r>
        <w:rPr>
          <w:rFonts w:hint="eastAsia" w:ascii="宋体" w:hAnsi="宋体"/>
          <w:szCs w:val="21"/>
          <w:highlight w:val="none"/>
          <w:lang w:eastAsia="zh-CN"/>
        </w:rPr>
        <w:t>中山行远项目管理有限公司</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合格供应商的基本资格条件：</w:t>
      </w:r>
    </w:p>
    <w:p>
      <w:pPr>
        <w:pStyle w:val="23"/>
        <w:widowControl/>
        <w:numPr>
          <w:ilvl w:val="0"/>
          <w:numId w:val="4"/>
        </w:numPr>
        <w:tabs>
          <w:tab w:val="left" w:pos="360"/>
          <w:tab w:val="left" w:pos="1166"/>
          <w:tab w:val="clear" w:pos="780"/>
        </w:tabs>
        <w:adjustRightInd w:val="0"/>
        <w:snapToGrid w:val="0"/>
        <w:spacing w:line="460" w:lineRule="atLeast"/>
        <w:ind w:left="1166" w:hanging="318"/>
        <w:jc w:val="left"/>
        <w:rPr>
          <w:rFonts w:hAnsi="宋体"/>
          <w:szCs w:val="24"/>
          <w:highlight w:val="none"/>
        </w:rPr>
      </w:pPr>
      <w:r>
        <w:rPr>
          <w:rFonts w:hint="eastAsia" w:hAnsi="宋体"/>
          <w:szCs w:val="24"/>
          <w:highlight w:val="none"/>
        </w:rPr>
        <w:t>参见第一部分《竞争性磋商邀请函》。</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szCs w:val="21"/>
          <w:highlight w:val="none"/>
        </w:rPr>
        <w:t>磋商小组：磋商小组是参照《中华人民共和国政府采购法》组建的专门负责本次磋商评审工作的临时性机构</w:t>
      </w:r>
      <w:r>
        <w:rPr>
          <w:rFonts w:hint="eastAsia" w:ascii="宋体" w:hAnsi="宋体"/>
          <w:highlight w:val="none"/>
        </w:rPr>
        <w:t>（其成员称为评委）</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日期：指公历日。</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时间：指每天24小时制。</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highlight w:val="none"/>
        </w:rPr>
        <w:t>采购文件：即竞争性磋商采购文件（或简称磋商采购文件或磋商文件）。</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highlight w:val="none"/>
        </w:rPr>
        <w:t>响应文件：即报价文件。</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szCs w:val="21"/>
          <w:highlight w:val="none"/>
        </w:rPr>
        <w:t>合同：指由本次磋商所产生的合同或合约文件。</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实质性响应：是指符合磋商采购文件的所有要求、条款、条件和规定，且没有重大偏离或保留。</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重大偏离或保留：是指</w:t>
      </w:r>
      <w:r>
        <w:rPr>
          <w:rFonts w:hint="eastAsia" w:ascii="宋体" w:hAnsi="宋体"/>
          <w:highlight w:val="none"/>
        </w:rPr>
        <w:t>响应</w:t>
      </w:r>
      <w:r>
        <w:rPr>
          <w:rFonts w:hint="eastAsia" w:ascii="宋体" w:hAnsi="宋体"/>
          <w:szCs w:val="21"/>
          <w:highlight w:val="none"/>
        </w:rPr>
        <w:t>文件中影响到磋商采购文件规定的货物、服务、工程质量或限制了采购人的权利/</w:t>
      </w:r>
      <w:r>
        <w:rPr>
          <w:rFonts w:hint="eastAsia" w:ascii="宋体" w:hAnsi="宋体"/>
          <w:highlight w:val="none"/>
        </w:rPr>
        <w:t>供应商</w:t>
      </w:r>
      <w:r>
        <w:rPr>
          <w:rFonts w:hint="eastAsia" w:ascii="宋体" w:hAnsi="宋体"/>
          <w:szCs w:val="21"/>
          <w:highlight w:val="none"/>
        </w:rPr>
        <w:t>的义务的规定，而认可该等规定偏离将影响到其他</w:t>
      </w:r>
      <w:r>
        <w:rPr>
          <w:rFonts w:hint="eastAsia" w:ascii="宋体" w:hAnsi="宋体"/>
          <w:highlight w:val="none"/>
        </w:rPr>
        <w:t>供应商</w:t>
      </w:r>
      <w:r>
        <w:rPr>
          <w:rFonts w:hint="eastAsia" w:ascii="宋体" w:hAnsi="宋体"/>
          <w:szCs w:val="21"/>
          <w:highlight w:val="none"/>
        </w:rPr>
        <w:t>的公平竞争地位。</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磋商采购文件中的标题或题名仅起引导作用，而不应视为对磋商采购文件内容的理解和解释。</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磋商采购文件中所规定的“书面形式”，包括纸质文件和电讯文件形式，既含手写、打印或印刷的文字资料形式，也包括电报、传真等通讯形成文件。</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highlight w:val="none"/>
        </w:rPr>
        <w:t>供应商应承担所有与编写和提交报价文件及参加本次报价活动的所有费用，不论磋商报价的结果如何，采购代理机构和采购人在任何情况下均无义务和责任承担这些费用</w:t>
      </w:r>
    </w:p>
    <w:p>
      <w:pPr>
        <w:snapToGrid w:val="0"/>
        <w:spacing w:line="460" w:lineRule="exact"/>
        <w:jc w:val="both"/>
        <w:rPr>
          <w:rFonts w:ascii="宋体" w:hAnsi="宋体"/>
          <w:szCs w:val="21"/>
          <w:highlight w:val="none"/>
        </w:rPr>
      </w:pPr>
    </w:p>
    <w:p>
      <w:pPr>
        <w:numPr>
          <w:ilvl w:val="0"/>
          <w:numId w:val="3"/>
        </w:numPr>
        <w:spacing w:line="460" w:lineRule="exact"/>
        <w:rPr>
          <w:rFonts w:ascii="宋体" w:hAnsi="宋体"/>
          <w:b/>
          <w:sz w:val="24"/>
          <w:highlight w:val="none"/>
        </w:rPr>
      </w:pPr>
      <w:r>
        <w:rPr>
          <w:rFonts w:hint="eastAsia" w:ascii="宋体" w:hAnsi="宋体"/>
          <w:b/>
          <w:sz w:val="24"/>
          <w:highlight w:val="none"/>
        </w:rPr>
        <w:t>纪律与保密事项</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凡参与磋商工作的有关人员均应自觉接受有关主管部门的监督，不得向他人透露已获得磋商采购文件的潜在供应商的名称、数量以及可能影响公平竞争的有关磋商报价的其他情况。</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磋商开始后，直至向中标（成交）供应商发出《中标（成交）通知书》时止，凡与审查、澄清、评价和比较报价的有关资料以及磋商意见等，均不得向供应商及与评审无关的其他人透露。</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除供应商被要求对响应文件进行澄清外，从磋商开始至收到《中标（成交）通知书》或《磋商结果通知书》期间供应商不得就与其响应文件有关的事项主动与磋商小组、采购代理机构以及采购人联系。</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从磋商开始至签订合同期间，供应商试图在磋商采购文件审查、澄清、比较和评价时对磋商小组和采购代理机构施加任何影响或对采购人的比较及授予合同的决定进行影响，都可能导致其响应文件被拒绝。</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供应商不得串通作弊，以不正当的手段妨碍、排挤其他供应商，扰乱招标市场，破坏公平竞争原则。</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获得本磋商采购文件者，应对文件进行保密，不得用作本次磋商采购以外的任何用途。若有要求，磋商完毕后，供应商应归还磋商采购文件中的保密的文件和资料。</w:t>
      </w:r>
    </w:p>
    <w:p>
      <w:pPr>
        <w:numPr>
          <w:ilvl w:val="1"/>
          <w:numId w:val="3"/>
        </w:numPr>
        <w:tabs>
          <w:tab w:val="left" w:pos="848"/>
          <w:tab w:val="clear" w:pos="680"/>
        </w:tabs>
        <w:snapToGrid w:val="0"/>
        <w:spacing w:line="460" w:lineRule="exact"/>
        <w:ind w:left="851" w:hanging="851"/>
        <w:rPr>
          <w:rFonts w:ascii="宋体" w:hAnsi="宋体"/>
          <w:b/>
          <w:sz w:val="24"/>
          <w:highlight w:val="none"/>
        </w:rPr>
      </w:pPr>
      <w:r>
        <w:rPr>
          <w:rFonts w:hint="eastAsia" w:ascii="宋体" w:hAnsi="宋体"/>
          <w:highlight w:val="none"/>
        </w:rPr>
        <w:t>由采购人向供应商提供的图纸、详细资料、样品、模型、模件和所有其他资料，被视为保密资料，仅被用于其所规定的用途，除非得到采购人的同意，不能向任何第三方透露。磋商完毕后，应采购人要求，供应商须归还采购人认为需保密的文件和资料，并销毁所有相应的备份文件及资料。</w:t>
      </w:r>
    </w:p>
    <w:p>
      <w:pPr>
        <w:numPr>
          <w:ilvl w:val="1"/>
          <w:numId w:val="3"/>
        </w:numPr>
        <w:tabs>
          <w:tab w:val="left" w:pos="848"/>
          <w:tab w:val="clear" w:pos="680"/>
        </w:tabs>
        <w:snapToGrid w:val="0"/>
        <w:spacing w:line="460" w:lineRule="exact"/>
        <w:ind w:left="851" w:hanging="851"/>
        <w:rPr>
          <w:rFonts w:ascii="宋体" w:hAnsi="宋体"/>
          <w:b/>
          <w:sz w:val="24"/>
          <w:highlight w:val="none"/>
        </w:rPr>
      </w:pPr>
      <w:r>
        <w:rPr>
          <w:rFonts w:hint="eastAsia" w:ascii="宋体" w:hAnsi="宋体"/>
          <w:highlight w:val="none"/>
        </w:rPr>
        <w:t>供应商必须保证所提交给采购代理机构和采购人的资料和数据的真实性，并承担相应的法律责任。</w:t>
      </w:r>
    </w:p>
    <w:p>
      <w:pPr>
        <w:numPr>
          <w:ilvl w:val="0"/>
          <w:numId w:val="3"/>
        </w:numPr>
        <w:spacing w:line="460" w:lineRule="exact"/>
        <w:rPr>
          <w:rFonts w:ascii="宋体" w:hAnsi="宋体"/>
          <w:b/>
          <w:sz w:val="24"/>
          <w:highlight w:val="none"/>
        </w:rPr>
      </w:pPr>
      <w:r>
        <w:rPr>
          <w:rFonts w:hint="eastAsia" w:ascii="宋体" w:hAnsi="宋体"/>
          <w:b/>
          <w:sz w:val="24"/>
          <w:highlight w:val="none"/>
        </w:rPr>
        <w:t>供应商知悉</w:t>
      </w:r>
    </w:p>
    <w:p>
      <w:pPr>
        <w:numPr>
          <w:ilvl w:val="1"/>
          <w:numId w:val="3"/>
        </w:numPr>
        <w:tabs>
          <w:tab w:val="left" w:pos="824"/>
          <w:tab w:val="clear" w:pos="680"/>
        </w:tabs>
        <w:spacing w:line="460" w:lineRule="exact"/>
        <w:ind w:left="824" w:hanging="824"/>
        <w:rPr>
          <w:rFonts w:ascii="宋体" w:hAnsi="宋体"/>
          <w:highlight w:val="none"/>
        </w:rPr>
      </w:pPr>
      <w:r>
        <w:rPr>
          <w:rFonts w:hint="eastAsia" w:ascii="宋体" w:hAnsi="宋体"/>
          <w:spacing w:val="10"/>
          <w:highlight w:val="none"/>
        </w:rPr>
        <w:t>凡参加本次磋商的</w:t>
      </w:r>
      <w:r>
        <w:rPr>
          <w:rFonts w:hint="eastAsia" w:ascii="宋体" w:hAnsi="宋体"/>
          <w:highlight w:val="none"/>
        </w:rPr>
        <w:t>供应商</w:t>
      </w:r>
      <w:r>
        <w:rPr>
          <w:rFonts w:hint="eastAsia" w:ascii="宋体" w:hAnsi="宋体"/>
          <w:spacing w:val="10"/>
          <w:highlight w:val="none"/>
        </w:rPr>
        <w:t>被视为已充分认识和理解了任何与本项目有关的影响事项和困难、风险等情况。</w:t>
      </w:r>
    </w:p>
    <w:p>
      <w:pPr>
        <w:numPr>
          <w:ilvl w:val="1"/>
          <w:numId w:val="3"/>
        </w:numPr>
        <w:tabs>
          <w:tab w:val="left" w:pos="824"/>
          <w:tab w:val="clear" w:pos="680"/>
        </w:tabs>
        <w:spacing w:line="460" w:lineRule="exact"/>
        <w:ind w:left="824" w:hanging="824"/>
        <w:rPr>
          <w:rFonts w:ascii="宋体"/>
          <w:highlight w:val="none"/>
        </w:rPr>
      </w:pPr>
      <w:r>
        <w:rPr>
          <w:rFonts w:hint="eastAsia" w:ascii="宋体" w:hAnsi="宋体"/>
          <w:szCs w:val="21"/>
          <w:highlight w:val="none"/>
        </w:rPr>
        <w:t>参照《广东省实施〈中华人民共和国政府采购法〉办法》第三十五条的规定，</w:t>
      </w:r>
      <w:r>
        <w:rPr>
          <w:rFonts w:hint="eastAsia" w:ascii="宋体" w:hAnsi="宋体"/>
          <w:highlight w:val="none"/>
        </w:rPr>
        <w:t>供应商</w:t>
      </w:r>
      <w:r>
        <w:rPr>
          <w:rFonts w:hint="eastAsia" w:ascii="宋体" w:hAnsi="宋体"/>
          <w:szCs w:val="21"/>
          <w:highlight w:val="none"/>
        </w:rPr>
        <w:t>认为采购文件的内容损害其权益的，可以在公示期间或者自期满之日起七个工作日内以书面形式向采购人或者采购中心提出质疑。质疑书应当署名。质疑</w:t>
      </w:r>
      <w:r>
        <w:rPr>
          <w:rFonts w:hint="eastAsia" w:ascii="宋体" w:hAnsi="宋体"/>
          <w:highlight w:val="none"/>
        </w:rPr>
        <w:t>供应商</w:t>
      </w:r>
      <w:r>
        <w:rPr>
          <w:rFonts w:hint="eastAsia" w:ascii="宋体" w:hAnsi="宋体"/>
          <w:szCs w:val="21"/>
          <w:highlight w:val="none"/>
        </w:rPr>
        <w:t>为自然人的，应当由本人签字；质疑</w:t>
      </w:r>
      <w:r>
        <w:rPr>
          <w:rFonts w:hint="eastAsia" w:ascii="宋体" w:hAnsi="宋体"/>
          <w:highlight w:val="none"/>
        </w:rPr>
        <w:t>供应商</w:t>
      </w:r>
      <w:r>
        <w:rPr>
          <w:rFonts w:hint="eastAsia" w:ascii="宋体" w:hAnsi="宋体"/>
          <w:szCs w:val="21"/>
          <w:highlight w:val="none"/>
        </w:rPr>
        <w:t>为法人或者其他组织的，应当由法定代表人或者主要负责人签字盖章并加盖公章。</w:t>
      </w:r>
    </w:p>
    <w:p>
      <w:pPr>
        <w:pStyle w:val="4"/>
        <w:rPr>
          <w:color w:val="auto"/>
          <w:highlight w:val="none"/>
        </w:rPr>
      </w:pPr>
      <w:bookmarkStart w:id="40" w:name="_Toc2979"/>
      <w:bookmarkStart w:id="41" w:name="_Toc20239"/>
      <w:bookmarkStart w:id="42" w:name="_Toc10525"/>
      <w:bookmarkStart w:id="43" w:name="_Toc16811_WPSOffice_Level2"/>
      <w:bookmarkStart w:id="44" w:name="_Toc465353215"/>
      <w:r>
        <w:rPr>
          <w:rFonts w:hint="eastAsia"/>
          <w:color w:val="auto"/>
          <w:highlight w:val="none"/>
        </w:rPr>
        <w:t>（二）磋商采购文件</w:t>
      </w:r>
      <w:bookmarkEnd w:id="40"/>
      <w:bookmarkEnd w:id="41"/>
      <w:bookmarkEnd w:id="42"/>
      <w:bookmarkEnd w:id="43"/>
      <w:bookmarkEnd w:id="44"/>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磋商采购文件构成</w:t>
      </w:r>
      <w:bookmarkStart w:id="45" w:name="_Hlt509038174"/>
      <w:bookmarkEnd w:id="45"/>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要求提供的货物、服务、磋商过程和合同条件在磋商采购文件中均有说明。磋商采购文件包括：</w:t>
      </w:r>
    </w:p>
    <w:p>
      <w:pPr>
        <w:snapToGrid w:val="0"/>
        <w:spacing w:line="460" w:lineRule="exact"/>
        <w:ind w:left="1260"/>
        <w:jc w:val="both"/>
        <w:rPr>
          <w:rFonts w:ascii="宋体" w:hAnsi="宋体"/>
          <w:highlight w:val="none"/>
        </w:rPr>
      </w:pPr>
      <w:r>
        <w:rPr>
          <w:rFonts w:hint="eastAsia" w:ascii="宋体" w:hAnsi="宋体"/>
          <w:highlight w:val="none"/>
        </w:rPr>
        <w:t>第一部分   竞争性磋商邀请函</w:t>
      </w:r>
    </w:p>
    <w:p>
      <w:pPr>
        <w:snapToGrid w:val="0"/>
        <w:spacing w:line="460" w:lineRule="exact"/>
        <w:ind w:left="1260"/>
        <w:jc w:val="both"/>
        <w:rPr>
          <w:rFonts w:ascii="宋体" w:hAnsi="宋体"/>
          <w:highlight w:val="none"/>
        </w:rPr>
      </w:pPr>
      <w:r>
        <w:rPr>
          <w:rFonts w:hint="eastAsia" w:ascii="宋体" w:hAnsi="宋体"/>
          <w:highlight w:val="none"/>
        </w:rPr>
        <w:t>第二部分   用户需求书</w:t>
      </w:r>
    </w:p>
    <w:p>
      <w:pPr>
        <w:snapToGrid w:val="0"/>
        <w:spacing w:line="460" w:lineRule="exact"/>
        <w:ind w:left="1260"/>
        <w:jc w:val="both"/>
        <w:rPr>
          <w:rFonts w:ascii="宋体" w:hAnsi="宋体"/>
          <w:highlight w:val="none"/>
        </w:rPr>
      </w:pPr>
      <w:r>
        <w:rPr>
          <w:rFonts w:hint="eastAsia" w:ascii="宋体" w:hAnsi="宋体"/>
          <w:highlight w:val="none"/>
        </w:rPr>
        <w:t>第三部分   供应商须知</w:t>
      </w:r>
    </w:p>
    <w:p>
      <w:pPr>
        <w:snapToGrid w:val="0"/>
        <w:spacing w:line="460" w:lineRule="exact"/>
        <w:ind w:left="1260"/>
        <w:jc w:val="both"/>
        <w:rPr>
          <w:rFonts w:ascii="宋体" w:hAnsi="宋体"/>
          <w:highlight w:val="none"/>
        </w:rPr>
      </w:pPr>
      <w:r>
        <w:rPr>
          <w:rFonts w:hint="eastAsia" w:ascii="宋体" w:hAnsi="宋体"/>
          <w:highlight w:val="none"/>
        </w:rPr>
        <w:t>第四部分   合同书格式</w:t>
      </w:r>
    </w:p>
    <w:p>
      <w:pPr>
        <w:snapToGrid w:val="0"/>
        <w:spacing w:line="460" w:lineRule="exact"/>
        <w:ind w:left="1260"/>
        <w:jc w:val="both"/>
        <w:rPr>
          <w:rFonts w:ascii="宋体" w:hAnsi="宋体"/>
          <w:highlight w:val="none"/>
        </w:rPr>
      </w:pPr>
      <w:r>
        <w:rPr>
          <w:rFonts w:hint="eastAsia" w:ascii="宋体" w:hAnsi="宋体"/>
          <w:highlight w:val="none"/>
        </w:rPr>
        <w:t xml:space="preserve">第五部分  </w:t>
      </w:r>
      <w:r>
        <w:rPr>
          <w:rFonts w:ascii="宋体" w:hAnsi="宋体"/>
          <w:highlight w:val="none"/>
        </w:rPr>
        <w:t xml:space="preserve"> </w:t>
      </w:r>
      <w:r>
        <w:rPr>
          <w:rFonts w:hint="eastAsia" w:ascii="宋体" w:hAnsi="宋体"/>
          <w:highlight w:val="none"/>
        </w:rPr>
        <w:t>响应文件格式</w:t>
      </w:r>
    </w:p>
    <w:p>
      <w:pPr>
        <w:snapToGrid w:val="0"/>
        <w:spacing w:line="460" w:lineRule="exact"/>
        <w:jc w:val="both"/>
        <w:rPr>
          <w:rFonts w:ascii="宋体" w:hAnsi="宋体"/>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磋商采购文件的澄清和修改</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获得竞争性磋商采购文件后，应仔细检查采购文件是否齐全。如有残缺、遗漏或者不清楚的，应在得到采购文件后2日内，以加盖供应商单位公章的书面文件提出，采用信函、传真或者直接送达的形式通知采购代理机构，同时将电子版文件以电子邮件的形式发送至采购代理机构电子邮箱，补充、修改的内容作为响应文件的组成部分。补充、修改的内容与响应文件不一致的，以补充、修改的内容为准，否则，由此引起的损失由供应商自行承担。同时，供应商有义务对竞争性磋商采购文件的准确性进行复核，如发现有任何错误（打印的错误、逻辑的错误）或者前后矛盾的，应在规定提交答疑的时间内提交给采购代理机构，否则，供应商应无条件接受竞争性磋商采购文件所有条款。</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采购代理机构对收到的澄清要求将以书面形式或其他适当的方式予以答复，发给要求澄清的供应商或所有供应商，该澄清的内容为竞争性磋商采购文件的组成部分。答复中包括所提的问题，但不包括问题的来源。</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在第一次报价截止时间以前的任何时候，无论出于何种原因，采购代理机构可用补充文件的形式对竞争性磋商采购文件进行澄清和修改。该澄清和修改作为竞争性磋商采购文件的组成部分对所有供应商具有约束力，将向领取了竞争性磋商采购文件的所有供应商发出。</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供应商在收到采购代理机构发给的任何澄清和修改文件时，都应在收到后立即以书面形式（签名确认及加盖公章）向采购代理机构确认，逾期不确认视为认同</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采购代理机构可视具体情况延长第一次报价截止时间和磋商评审时间，并将此变更通知所有磋商采购文件收受人。在推迟了第一次报价截止时间的情况下，采购代理机构、采购人和供应商受第一次报价截止时间制约的所有权利和义务均应延长至新的截止时间。</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在磋商过程中，磋商采购文件内容如有实质性的变更，磋商小组应以书面形式通知所有参与磋商的</w:t>
      </w:r>
      <w:r>
        <w:rPr>
          <w:rFonts w:hint="eastAsia" w:ascii="宋体" w:hAnsi="宋体"/>
          <w:highlight w:val="none"/>
        </w:rPr>
        <w:t>供应商</w:t>
      </w:r>
      <w:r>
        <w:rPr>
          <w:rFonts w:hint="eastAsia" w:ascii="宋体" w:hAnsi="宋体"/>
          <w:szCs w:val="21"/>
          <w:highlight w:val="none"/>
        </w:rPr>
        <w:t>。若</w:t>
      </w:r>
      <w:r>
        <w:rPr>
          <w:rFonts w:hint="eastAsia" w:ascii="宋体" w:hAnsi="宋体"/>
          <w:highlight w:val="none"/>
        </w:rPr>
        <w:t>供应商</w:t>
      </w:r>
      <w:r>
        <w:rPr>
          <w:rFonts w:hint="eastAsia" w:ascii="宋体" w:hAnsi="宋体"/>
          <w:szCs w:val="21"/>
          <w:highlight w:val="none"/>
        </w:rPr>
        <w:t>对此类实质性变更不予接受，可以要求退出磋商，否则将被视为接受此变更并受其约束。</w:t>
      </w:r>
    </w:p>
    <w:p>
      <w:pPr>
        <w:pStyle w:val="4"/>
        <w:rPr>
          <w:color w:val="auto"/>
          <w:highlight w:val="none"/>
        </w:rPr>
      </w:pPr>
      <w:bookmarkStart w:id="46" w:name="_Toc465353216"/>
      <w:bookmarkStart w:id="47" w:name="_Toc28432"/>
      <w:bookmarkStart w:id="48" w:name="_Toc12581"/>
      <w:bookmarkStart w:id="49" w:name="_Toc2008_WPSOffice_Level2"/>
      <w:bookmarkStart w:id="50" w:name="_Toc22035"/>
      <w:r>
        <w:rPr>
          <w:rFonts w:hint="eastAsia"/>
          <w:color w:val="auto"/>
          <w:highlight w:val="none"/>
        </w:rPr>
        <w:t>（三）报价文件的编制</w:t>
      </w:r>
      <w:bookmarkEnd w:id="46"/>
      <w:bookmarkEnd w:id="47"/>
      <w:bookmarkEnd w:id="48"/>
      <w:bookmarkEnd w:id="49"/>
      <w:bookmarkEnd w:id="50"/>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报价语言及计量</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提交的响应文件以及供应商与采购代理机构和采购人就有关报价的所有往来函电均应以中文书写。供应商提供的支持文件和印刷的文献可以用另一种语言，但相应内容应附有中文翻译本，在解释时以中文翻译本为准。原版为外文的证书类文件，以及由外国人做出的本人签名、外国公司的名称或外国印章等可以是外文，但采购代理机构可以要求供应商提供翻译文件，必要时可以要求提供附有公证书的翻译文件。</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cs="Arial"/>
          <w:highlight w:val="none"/>
        </w:rPr>
        <w:t>对违反上述规定情形的，磋商小组有权要求其限期提供加盖公章的翻译文件或取消其报价资格。</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cs="Arial"/>
          <w:highlight w:val="none"/>
        </w:rPr>
        <w:t>除在磋商采购文件的技术规格中另有规定外，</w:t>
      </w:r>
      <w:r>
        <w:rPr>
          <w:rFonts w:hint="eastAsia" w:ascii="宋体" w:hAnsi="宋体"/>
          <w:highlight w:val="none"/>
        </w:rPr>
        <w:t>供应商在报价文件中及其与采购人和采购代理机构的所有往来文件中的</w:t>
      </w:r>
      <w:r>
        <w:rPr>
          <w:rFonts w:hint="eastAsia" w:ascii="宋体" w:hAnsi="宋体" w:cs="Arial"/>
          <w:highlight w:val="none"/>
        </w:rPr>
        <w:t>计量单位应使用中华人民共和国法定计量单位</w:t>
      </w:r>
      <w:r>
        <w:rPr>
          <w:rFonts w:ascii="宋体" w:hAnsi="宋体" w:cs="Arial"/>
          <w:highlight w:val="none"/>
        </w:rPr>
        <w:t>(</w:t>
      </w:r>
      <w:r>
        <w:rPr>
          <w:rFonts w:hint="eastAsia" w:ascii="宋体" w:hAnsi="宋体" w:cs="Arial"/>
          <w:highlight w:val="none"/>
        </w:rPr>
        <w:t>国际单位制和国家选定的其他计量单位</w:t>
      </w:r>
      <w:r>
        <w:rPr>
          <w:rFonts w:ascii="宋体" w:hAnsi="宋体" w:cs="Arial"/>
          <w:highlight w:val="none"/>
        </w:rPr>
        <w:t>)</w:t>
      </w:r>
      <w:r>
        <w:rPr>
          <w:rFonts w:hint="eastAsia" w:ascii="宋体" w:hAnsi="宋体" w:cs="Arial"/>
          <w:highlight w:val="none"/>
        </w:rPr>
        <w:t>。</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应仔细阅读竞争性磋商采购文件的所有内容，按竞争性磋商采购文件的要求制作规范、严谨响应文件，并保证所提供的全部资料的真实性，以确保供应商对竞争性磋商采购文件作出实质性响应。否则，其报价将被视为无效报价。</w:t>
      </w:r>
    </w:p>
    <w:p>
      <w:pPr>
        <w:snapToGrid w:val="0"/>
        <w:spacing w:line="460" w:lineRule="exact"/>
        <w:jc w:val="both"/>
        <w:rPr>
          <w:rFonts w:ascii="宋体" w:hAnsi="宋体"/>
          <w:sz w:val="24"/>
          <w:highlight w:val="none"/>
        </w:rPr>
      </w:pPr>
    </w:p>
    <w:p>
      <w:pPr>
        <w:numPr>
          <w:ilvl w:val="0"/>
          <w:numId w:val="3"/>
        </w:numPr>
        <w:snapToGrid w:val="0"/>
        <w:spacing w:line="460" w:lineRule="exact"/>
        <w:jc w:val="both"/>
        <w:rPr>
          <w:rFonts w:ascii="宋体" w:hAnsi="宋体"/>
          <w:b/>
          <w:bCs/>
          <w:highlight w:val="none"/>
        </w:rPr>
      </w:pPr>
      <w:r>
        <w:rPr>
          <w:rFonts w:hint="eastAsia" w:ascii="宋体" w:hAnsi="宋体"/>
          <w:b/>
          <w:sz w:val="24"/>
          <w:highlight w:val="none"/>
        </w:rPr>
        <w:t>报价文件的构成</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报价函；</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法定代表人证明书/法定代表人授权书；</w:t>
      </w:r>
    </w:p>
    <w:p>
      <w:pPr>
        <w:numPr>
          <w:ilvl w:val="0"/>
          <w:numId w:val="5"/>
        </w:numPr>
        <w:adjustRightInd w:val="0"/>
        <w:spacing w:line="460" w:lineRule="exact"/>
        <w:ind w:firstLine="68"/>
        <w:rPr>
          <w:highlight w:val="none"/>
        </w:rPr>
      </w:pPr>
      <w:r>
        <w:rPr>
          <w:rFonts w:hint="eastAsia" w:ascii="宋体" w:hAnsi="宋体"/>
          <w:highlight w:val="none"/>
        </w:rPr>
        <w:t>关于资格的声明函；</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中小企业声明函（投标供应商为中小企业时适用）/</w:t>
      </w:r>
      <w:r>
        <w:rPr>
          <w:rFonts w:hint="eastAsia" w:ascii="宋体" w:hAnsi="宋体"/>
          <w:szCs w:val="22"/>
          <w:highlight w:val="none"/>
        </w:rPr>
        <w:t>监狱企业的证明文件（投标人为监狱企业时适用）</w:t>
      </w:r>
      <w:r>
        <w:rPr>
          <w:rFonts w:hint="eastAsia" w:ascii="宋体" w:hAnsi="宋体"/>
          <w:highlight w:val="none"/>
        </w:rPr>
        <w:t>；</w:t>
      </w:r>
    </w:p>
    <w:p>
      <w:pPr>
        <w:numPr>
          <w:ilvl w:val="0"/>
          <w:numId w:val="5"/>
        </w:numPr>
        <w:adjustRightInd w:val="0"/>
        <w:spacing w:line="460" w:lineRule="exact"/>
        <w:ind w:firstLine="68"/>
        <w:rPr>
          <w:highlight w:val="none"/>
        </w:rPr>
      </w:pPr>
      <w:r>
        <w:rPr>
          <w:rFonts w:hint="eastAsia" w:ascii="宋体" w:hAnsi="宋体"/>
          <w:highlight w:val="none"/>
        </w:rPr>
        <w:t>残疾人福利性单位声明函</w:t>
      </w:r>
      <w:r>
        <w:rPr>
          <w:rFonts w:hint="eastAsia" w:ascii="宋体" w:hAnsi="宋体" w:cs="Arial"/>
          <w:highlight w:val="none"/>
        </w:rPr>
        <w:t>；</w:t>
      </w:r>
    </w:p>
    <w:p>
      <w:pPr>
        <w:numPr>
          <w:ilvl w:val="0"/>
          <w:numId w:val="5"/>
        </w:numPr>
        <w:adjustRightInd w:val="0"/>
        <w:spacing w:line="460" w:lineRule="exact"/>
        <w:ind w:firstLine="68"/>
        <w:rPr>
          <w:highlight w:val="none"/>
        </w:rPr>
      </w:pPr>
      <w:r>
        <w:rPr>
          <w:rFonts w:hint="eastAsia" w:ascii="宋体" w:hAnsi="宋体"/>
          <w:highlight w:val="none"/>
        </w:rPr>
        <w:t>投标人投标的产品属于“优先采购品目清单产品”声明函</w:t>
      </w:r>
      <w:r>
        <w:rPr>
          <w:rFonts w:hint="eastAsia" w:ascii="宋体" w:hAnsi="宋体" w:cs="Arial"/>
          <w:highlight w:val="none"/>
        </w:rPr>
        <w:t>；</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报价一览表</w:t>
      </w:r>
      <w:r>
        <w:rPr>
          <w:rFonts w:hint="eastAsia" w:ascii="宋体" w:hAnsi="宋体" w:cs="Arial"/>
          <w:highlight w:val="none"/>
        </w:rPr>
        <w:t>；</w:t>
      </w:r>
    </w:p>
    <w:p>
      <w:pPr>
        <w:numPr>
          <w:ilvl w:val="0"/>
          <w:numId w:val="5"/>
        </w:numPr>
        <w:adjustRightInd w:val="0"/>
        <w:spacing w:line="460" w:lineRule="exact"/>
        <w:ind w:firstLine="68"/>
        <w:rPr>
          <w:rFonts w:ascii="宋体" w:hAnsi="宋体"/>
          <w:highlight w:val="none"/>
        </w:rPr>
      </w:pPr>
      <w:r>
        <w:rPr>
          <w:rFonts w:hint="eastAsia" w:ascii="宋体" w:hAnsi="宋体" w:cs="Arial"/>
          <w:highlight w:val="none"/>
        </w:rPr>
        <w:t>详细报价表；</w:t>
      </w:r>
    </w:p>
    <w:p>
      <w:pPr>
        <w:numPr>
          <w:ilvl w:val="0"/>
          <w:numId w:val="5"/>
        </w:numPr>
        <w:adjustRightInd w:val="0"/>
        <w:spacing w:line="460" w:lineRule="exact"/>
        <w:ind w:firstLine="68"/>
        <w:rPr>
          <w:rFonts w:ascii="宋体" w:hAnsi="宋体" w:cs="Arial"/>
          <w:highlight w:val="none"/>
        </w:rPr>
      </w:pPr>
      <w:r>
        <w:rPr>
          <w:rFonts w:hint="eastAsia" w:ascii="宋体" w:hAnsi="宋体" w:cs="Arial"/>
          <w:highlight w:val="none"/>
        </w:rPr>
        <w:t>报价响应与磋商文件差异一览表</w:t>
      </w:r>
      <w:r>
        <w:rPr>
          <w:rFonts w:hint="eastAsia" w:ascii="宋体" w:hAnsi="宋体"/>
          <w:highlight w:val="none"/>
        </w:rPr>
        <w:t>；</w:t>
      </w:r>
    </w:p>
    <w:p>
      <w:pPr>
        <w:numPr>
          <w:ilvl w:val="0"/>
          <w:numId w:val="5"/>
        </w:numPr>
        <w:adjustRightInd w:val="0"/>
        <w:spacing w:line="460" w:lineRule="exact"/>
        <w:ind w:firstLine="68"/>
        <w:rPr>
          <w:rFonts w:ascii="宋体" w:hAnsi="宋体" w:cs="Arial"/>
          <w:highlight w:val="none"/>
        </w:rPr>
      </w:pPr>
      <w:r>
        <w:rPr>
          <w:rFonts w:hint="eastAsia" w:ascii="宋体" w:hAnsi="宋体"/>
          <w:highlight w:val="none"/>
        </w:rPr>
        <w:t>供应商基本情况；</w:t>
      </w:r>
    </w:p>
    <w:p>
      <w:pPr>
        <w:numPr>
          <w:ilvl w:val="0"/>
          <w:numId w:val="5"/>
        </w:numPr>
        <w:adjustRightInd w:val="0"/>
        <w:spacing w:line="460" w:lineRule="exact"/>
        <w:ind w:firstLine="68"/>
        <w:rPr>
          <w:rFonts w:ascii="宋体" w:hAnsi="宋体"/>
          <w:highlight w:val="none"/>
        </w:rPr>
      </w:pPr>
      <w:r>
        <w:rPr>
          <w:rFonts w:hint="eastAsia" w:ascii="宋体" w:hAnsi="宋体"/>
          <w:highlight w:val="none"/>
          <w:lang w:val="en-US" w:eastAsia="zh-CN"/>
        </w:rPr>
        <w:t>供应商具有履行合同所必需的设备和专业技术能力情况</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同类项目一览表；</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拟投入项目负责人和技术（施工）人员概况表；</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施工方案；</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中标（成交）服务费承诺书；</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其他资格证明材料（如有）；</w:t>
      </w:r>
    </w:p>
    <w:p>
      <w:pPr>
        <w:snapToGrid w:val="0"/>
        <w:spacing w:line="460" w:lineRule="exact"/>
        <w:ind w:firstLine="211" w:firstLineChars="100"/>
        <w:jc w:val="both"/>
        <w:rPr>
          <w:rFonts w:ascii="宋体" w:hAnsi="宋体"/>
          <w:b/>
          <w:bCs/>
          <w:szCs w:val="21"/>
          <w:highlight w:val="none"/>
        </w:rPr>
      </w:pPr>
      <w:r>
        <w:rPr>
          <w:rFonts w:hint="eastAsia" w:ascii="宋体" w:hAnsi="宋体"/>
          <w:b/>
          <w:bCs/>
          <w:szCs w:val="21"/>
          <w:highlight w:val="none"/>
        </w:rPr>
        <w:t>供应商有义务按照以上构成要求将响应文件装订成册并标上唯一连贯流水编码，不得出现缺页。</w:t>
      </w:r>
    </w:p>
    <w:p>
      <w:pPr>
        <w:snapToGrid w:val="0"/>
        <w:spacing w:line="460" w:lineRule="exact"/>
        <w:jc w:val="both"/>
        <w:rPr>
          <w:rFonts w:ascii="宋体" w:hAnsi="宋体"/>
          <w:b/>
          <w:bCs/>
          <w:szCs w:val="21"/>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报价说明</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供应商应按磋商采购文件格式要求填写报价明细表。中标（成交）供应商最终报价明细表的每项金额变动按第一次报价和最终报价之间的比例统一变动。</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中标（成交）供应商必须在发出《中标（成交）通知书》后7个日历天内，按照所最终的中标（成交）价格重新拟定一份报价明细提交采购人</w:t>
      </w:r>
      <w:r>
        <w:rPr>
          <w:rFonts w:hint="eastAsia" w:ascii="宋体" w:hAnsi="宋体"/>
          <w:kern w:val="28"/>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供应商所报的价格在合同执行期间是固定不变的，不得以任何理由予以变更。</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报价包含一切税费；供应商相应自行增加系统正常、合法运行及使用所必需但磋商采购文件没有包含的所有部件、版权、专利等一切费用，如果供应商在被确定为中标（成交）供应商并签署合同后，在供货、安装、调试、培训等工作中出现硬件、软件等的任何遗漏，均由中标（成交）供应商免费提供，采购人将不再支付任何费用。</w:t>
      </w:r>
    </w:p>
    <w:p>
      <w:pPr>
        <w:snapToGrid w:val="0"/>
        <w:spacing w:line="460" w:lineRule="exact"/>
        <w:ind w:left="500" w:hanging="500"/>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报价货币</w:t>
      </w:r>
    </w:p>
    <w:p>
      <w:pPr>
        <w:tabs>
          <w:tab w:val="left" w:pos="851"/>
        </w:tabs>
        <w:snapToGrid w:val="0"/>
        <w:spacing w:line="460" w:lineRule="exact"/>
        <w:ind w:firstLine="840" w:firstLineChars="400"/>
        <w:jc w:val="both"/>
        <w:rPr>
          <w:rFonts w:ascii="宋体" w:hAnsi="宋体"/>
          <w:highlight w:val="none"/>
        </w:rPr>
      </w:pPr>
      <w:r>
        <w:rPr>
          <w:rFonts w:hint="eastAsia" w:ascii="宋体" w:hAnsi="宋体"/>
          <w:highlight w:val="none"/>
        </w:rPr>
        <w:t>供应商</w:t>
      </w:r>
      <w:r>
        <w:rPr>
          <w:rFonts w:hint="eastAsia" w:ascii="宋体"/>
          <w:highlight w:val="none"/>
        </w:rPr>
        <w:t>提供的货物、服务和工程价格均用人民币报价。</w:t>
      </w:r>
    </w:p>
    <w:p>
      <w:pPr>
        <w:snapToGrid w:val="0"/>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证明供应商合格资格的文件</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应提交证明其有资格参加本次磋商报价和确定为中标（成交）供应商后有能力履行合同的文件，以及证明其拟供的合同项下的货物和服务的合格性符合磋商采购文件规定的文件，并作为其响应文件的一部分。</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供应商提交的被确定为中标（成交）供应商后履行合同的资格证明文件应满足磋商采购文件中的相关资格要求。</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证明所提供的服务与磋商采购文件的要求相一致的文件，可以是文字资料、图纸，包括工程服务的主要指标、验收的详细说明。</w:t>
      </w:r>
    </w:p>
    <w:p>
      <w:pPr>
        <w:snapToGrid w:val="0"/>
        <w:spacing w:line="460" w:lineRule="exact"/>
        <w:jc w:val="both"/>
        <w:rPr>
          <w:rFonts w:ascii="宋体" w:hAnsi="宋体"/>
          <w:highlight w:val="none"/>
        </w:rPr>
      </w:pPr>
    </w:p>
    <w:p>
      <w:pPr>
        <w:numPr>
          <w:ilvl w:val="0"/>
          <w:numId w:val="3"/>
        </w:numPr>
        <w:snapToGrid w:val="0"/>
        <w:spacing w:line="460" w:lineRule="exact"/>
        <w:jc w:val="both"/>
        <w:rPr>
          <w:rFonts w:ascii="宋体"/>
          <w:b/>
          <w:sz w:val="24"/>
          <w:highlight w:val="none"/>
        </w:rPr>
      </w:pPr>
      <w:r>
        <w:rPr>
          <w:rFonts w:hint="eastAsia" w:ascii="宋体"/>
          <w:b/>
          <w:sz w:val="24"/>
          <w:highlight w:val="none"/>
        </w:rPr>
        <w:t>报价保证金</w:t>
      </w:r>
    </w:p>
    <w:p>
      <w:pPr>
        <w:snapToGrid w:val="0"/>
        <w:spacing w:line="460" w:lineRule="exact"/>
        <w:ind w:left="1161" w:leftChars="400" w:hanging="321" w:hangingChars="153"/>
        <w:rPr>
          <w:rFonts w:ascii="宋体"/>
          <w:sz w:val="24"/>
          <w:highlight w:val="none"/>
        </w:rPr>
      </w:pPr>
      <w:r>
        <w:rPr>
          <w:rFonts w:hint="eastAsia" w:ascii="宋体" w:hAnsi="宋体"/>
          <w:highlight w:val="none"/>
          <w:lang w:val="en-US" w:eastAsia="zh-CN"/>
        </w:rPr>
        <w:t>本项目无须缴纳保证金</w:t>
      </w:r>
      <w:r>
        <w:rPr>
          <w:rFonts w:hint="eastAsia" w:ascii="宋体" w:hAnsi="宋体"/>
          <w:highlight w:val="none"/>
        </w:rPr>
        <w:t>。</w:t>
      </w:r>
      <w:r>
        <w:rPr>
          <w:rFonts w:hint="eastAsia" w:ascii="宋体"/>
          <w:highlight w:val="none"/>
        </w:rPr>
        <w:t xml:space="preserve">  </w:t>
      </w:r>
      <w:r>
        <w:rPr>
          <w:rFonts w:ascii="宋体"/>
          <w:highlight w:val="none"/>
        </w:rPr>
        <w:t xml:space="preserve">     </w:t>
      </w:r>
      <w:r>
        <w:rPr>
          <w:rFonts w:hint="eastAsia" w:ascii="宋体"/>
          <w:sz w:val="24"/>
          <w:highlight w:val="none"/>
        </w:rPr>
        <w:t xml:space="preserve">  </w:t>
      </w:r>
    </w:p>
    <w:p>
      <w:pPr>
        <w:snapToGrid w:val="0"/>
        <w:spacing w:line="460" w:lineRule="exact"/>
        <w:ind w:left="1207" w:leftChars="400" w:hanging="367" w:hangingChars="153"/>
        <w:rPr>
          <w:rFonts w:ascii="宋体"/>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报价有效期</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响应文件应在第一次报价截止时间当日后的90天内保持有效。</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szCs w:val="21"/>
          <w:highlight w:val="none"/>
        </w:rPr>
        <w:t>在特殊情况下，采购代理机构可于报价有效期满之前要求</w:t>
      </w:r>
      <w:r>
        <w:rPr>
          <w:rFonts w:hint="eastAsia" w:ascii="宋体" w:hAnsi="宋体"/>
          <w:highlight w:val="none"/>
        </w:rPr>
        <w:t>供应商</w:t>
      </w:r>
      <w:r>
        <w:rPr>
          <w:rFonts w:hint="eastAsia" w:ascii="宋体" w:hAnsi="宋体"/>
          <w:szCs w:val="21"/>
          <w:highlight w:val="none"/>
        </w:rPr>
        <w:t>延长有效期，延期要求与答复均应以书面形式提交。</w:t>
      </w:r>
      <w:r>
        <w:rPr>
          <w:rFonts w:hint="eastAsia" w:ascii="宋体" w:hAnsi="宋体"/>
          <w:highlight w:val="none"/>
        </w:rPr>
        <w:t>供应商</w:t>
      </w:r>
      <w:r>
        <w:rPr>
          <w:rFonts w:hint="eastAsia" w:ascii="宋体" w:hAnsi="宋体"/>
          <w:szCs w:val="21"/>
          <w:highlight w:val="none"/>
        </w:rPr>
        <w:t>可以拒绝上述要求，同意延期的</w:t>
      </w:r>
      <w:r>
        <w:rPr>
          <w:rFonts w:hint="eastAsia" w:ascii="宋体" w:hAnsi="宋体"/>
          <w:highlight w:val="none"/>
        </w:rPr>
        <w:t>供应商</w:t>
      </w:r>
      <w:r>
        <w:rPr>
          <w:rFonts w:hint="eastAsia" w:ascii="宋体" w:hAnsi="宋体"/>
          <w:szCs w:val="21"/>
          <w:highlight w:val="none"/>
        </w:rPr>
        <w:t>原报价有效期内应享之权利及应负之责任不改变，并相应延续。</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highlight w:val="none"/>
        </w:rPr>
        <w:t>报价有效期比规定期限短的将被视为非响应报价而予以拒绝。</w:t>
      </w:r>
    </w:p>
    <w:p>
      <w:pPr>
        <w:pStyle w:val="25"/>
        <w:widowControl/>
        <w:snapToGrid w:val="0"/>
        <w:spacing w:line="460" w:lineRule="exact"/>
        <w:rPr>
          <w:rFonts w:ascii="宋体" w:hAnsi="宋体" w:eastAsia="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响应文件的式样和签署</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供应商应准备报价文件</w:t>
      </w:r>
      <w:r>
        <w:rPr>
          <w:rFonts w:hint="eastAsia" w:ascii="宋体" w:hAnsi="宋体"/>
          <w:b/>
          <w:bCs/>
          <w:highlight w:val="none"/>
        </w:rPr>
        <w:t>正本一份，副本三份和与响应文件内容相同的电子报价文件一份（U盘/光盘，封面注明公司名称和项目编号）</w:t>
      </w:r>
      <w:r>
        <w:rPr>
          <w:rFonts w:hint="eastAsia" w:ascii="宋体" w:hAnsi="宋体"/>
          <w:highlight w:val="none"/>
        </w:rPr>
        <w:t>，在每一份响应文件上要明确注明</w:t>
      </w:r>
      <w:r>
        <w:rPr>
          <w:rFonts w:ascii="宋体" w:hAnsi="宋体"/>
          <w:highlight w:val="none"/>
        </w:rPr>
        <w:t>“</w:t>
      </w:r>
      <w:r>
        <w:rPr>
          <w:rFonts w:hint="eastAsia" w:ascii="宋体" w:hAnsi="宋体"/>
          <w:highlight w:val="none"/>
        </w:rPr>
        <w:t>正本</w:t>
      </w:r>
      <w:r>
        <w:rPr>
          <w:rFonts w:ascii="宋体" w:hAnsi="宋体"/>
          <w:highlight w:val="none"/>
        </w:rPr>
        <w:t>”</w:t>
      </w:r>
      <w:r>
        <w:rPr>
          <w:rFonts w:hint="eastAsia" w:ascii="宋体" w:hAnsi="宋体"/>
          <w:highlight w:val="none"/>
        </w:rPr>
        <w:t>或</w:t>
      </w:r>
      <w:r>
        <w:rPr>
          <w:rFonts w:ascii="宋体" w:hAnsi="宋体"/>
          <w:highlight w:val="none"/>
        </w:rPr>
        <w:t>“</w:t>
      </w:r>
      <w:r>
        <w:rPr>
          <w:rFonts w:hint="eastAsia" w:ascii="宋体" w:hAnsi="宋体"/>
          <w:highlight w:val="none"/>
        </w:rPr>
        <w:t>副本</w:t>
      </w:r>
      <w:r>
        <w:rPr>
          <w:rFonts w:ascii="宋体" w:hAnsi="宋体"/>
          <w:highlight w:val="none"/>
        </w:rPr>
        <w:t>”</w:t>
      </w:r>
      <w:r>
        <w:rPr>
          <w:rFonts w:hint="eastAsia" w:ascii="宋体" w:hAnsi="宋体"/>
          <w:highlight w:val="none"/>
        </w:rPr>
        <w:t>字样；一旦正本和副本内容有差异，以正本为准。</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cs="Arial"/>
          <w:highlight w:val="none"/>
        </w:rPr>
        <w:t>响应文件正本须打印并由</w:t>
      </w:r>
      <w:r>
        <w:rPr>
          <w:rFonts w:hint="eastAsia" w:ascii="宋体" w:hAnsi="宋体"/>
          <w:highlight w:val="none"/>
        </w:rPr>
        <w:t>供应商</w:t>
      </w:r>
      <w:r>
        <w:rPr>
          <w:rFonts w:hint="eastAsia" w:ascii="宋体" w:hAnsi="宋体" w:cs="Arial"/>
          <w:highlight w:val="none"/>
        </w:rPr>
        <w:t>的法定代表人或其委托代理人（具有法定代表人签署的授权书）</w:t>
      </w:r>
      <w:r>
        <w:rPr>
          <w:rFonts w:hint="eastAsia" w:ascii="宋体" w:hAnsi="宋体" w:cs="Arial"/>
          <w:b/>
          <w:bCs/>
          <w:highlight w:val="none"/>
        </w:rPr>
        <w:t>在正本上要求的地方签字</w:t>
      </w:r>
      <w:r>
        <w:rPr>
          <w:rFonts w:hint="eastAsia" w:ascii="宋体" w:hAnsi="宋体" w:cs="Arial"/>
          <w:highlight w:val="none"/>
        </w:rPr>
        <w:t>，副本可通过正本复印。</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响应文件正本均须用不褪色墨水书写或打印，由法定代表人或经过正式授权并对供应商有约束力的代表签字。</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响应文件副本，所有资料都可以用响应文件的正本复印而成。</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响应文件的正本及所有副本的封面均须由供应商加盖供应商公章。</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响应文件的任何行间插字、涂改和增删，必须由响应文件的签字人用姓氏或首字母在旁边签字才有效。</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在磋商采购文件中已明示需盖章及签名之处，响应文件正本均须加盖供应商公章，并经供应商法定代表人或其授权代表签名或盖章。</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传真和电传的响应文件将被拒绝。</w:t>
      </w:r>
    </w:p>
    <w:p>
      <w:pPr>
        <w:snapToGrid w:val="0"/>
        <w:spacing w:line="460" w:lineRule="exact"/>
        <w:jc w:val="both"/>
        <w:rPr>
          <w:rFonts w:ascii="宋体" w:hAnsi="宋体"/>
          <w:b/>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知识产权</w:t>
      </w:r>
    </w:p>
    <w:p>
      <w:pPr>
        <w:numPr>
          <w:ilvl w:val="1"/>
          <w:numId w:val="3"/>
        </w:numPr>
        <w:tabs>
          <w:tab w:val="left" w:pos="851"/>
        </w:tabs>
        <w:snapToGrid w:val="0"/>
        <w:spacing w:line="460" w:lineRule="exact"/>
        <w:ind w:left="851" w:hanging="851"/>
        <w:jc w:val="both"/>
        <w:rPr>
          <w:rFonts w:ascii="宋体" w:hAnsi="宋体"/>
          <w:b/>
          <w:sz w:val="24"/>
          <w:highlight w:val="none"/>
        </w:rPr>
      </w:pPr>
      <w:r>
        <w:rPr>
          <w:rFonts w:hint="eastAsia" w:ascii="宋体" w:hAnsi="宋体"/>
          <w:highlight w:val="none"/>
        </w:rPr>
        <w:t>供应商应保证，采购人在中华人民共和国使用货物、软件及服务或货物、软件及服务的任何一部分时，采购人免受第三方提出侵犯其专利权、商标权、工业设计或其它知识产权的起诉。</w:t>
      </w:r>
    </w:p>
    <w:p>
      <w:pPr>
        <w:numPr>
          <w:ilvl w:val="1"/>
          <w:numId w:val="3"/>
        </w:numPr>
        <w:tabs>
          <w:tab w:val="left" w:pos="851"/>
        </w:tabs>
        <w:snapToGrid w:val="0"/>
        <w:spacing w:line="460" w:lineRule="exact"/>
        <w:ind w:left="851" w:hanging="851"/>
        <w:jc w:val="both"/>
        <w:rPr>
          <w:rFonts w:ascii="宋体" w:hAnsi="宋体"/>
          <w:b/>
          <w:sz w:val="24"/>
          <w:highlight w:val="none"/>
        </w:rPr>
      </w:pPr>
      <w:r>
        <w:rPr>
          <w:rFonts w:hint="eastAsia" w:ascii="宋体" w:hAnsi="宋体"/>
          <w:highlight w:val="none"/>
        </w:rPr>
        <w:t>报价应包括所有应支付的对专利权和版权、设计或其他知识产权而需要向其他方支付的版税。</w:t>
      </w:r>
    </w:p>
    <w:p>
      <w:pPr>
        <w:snapToGrid w:val="0"/>
        <w:spacing w:line="460" w:lineRule="exact"/>
        <w:jc w:val="both"/>
        <w:rPr>
          <w:rFonts w:ascii="宋体" w:hAnsi="宋体"/>
          <w:b/>
          <w:sz w:val="24"/>
          <w:highlight w:val="none"/>
        </w:rPr>
      </w:pPr>
    </w:p>
    <w:p>
      <w:pPr>
        <w:pStyle w:val="4"/>
        <w:rPr>
          <w:color w:val="auto"/>
          <w:highlight w:val="none"/>
        </w:rPr>
      </w:pPr>
      <w:bookmarkStart w:id="51" w:name="_Toc465353217"/>
      <w:bookmarkStart w:id="52" w:name="_Toc11568"/>
      <w:bookmarkStart w:id="53" w:name="_Toc850_WPSOffice_Level2"/>
      <w:bookmarkStart w:id="54" w:name="_Toc16100"/>
      <w:bookmarkStart w:id="55" w:name="_Toc11119"/>
      <w:r>
        <w:rPr>
          <w:rFonts w:hint="eastAsia"/>
          <w:color w:val="auto"/>
          <w:highlight w:val="none"/>
        </w:rPr>
        <w:t>（四）报价文件的递交</w:t>
      </w:r>
      <w:bookmarkEnd w:id="51"/>
      <w:bookmarkEnd w:id="52"/>
      <w:bookmarkEnd w:id="53"/>
      <w:bookmarkEnd w:id="54"/>
      <w:bookmarkEnd w:id="55"/>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响应文件的密封和标记</w:t>
      </w:r>
    </w:p>
    <w:p>
      <w:pPr>
        <w:numPr>
          <w:ilvl w:val="1"/>
          <w:numId w:val="3"/>
        </w:numPr>
        <w:tabs>
          <w:tab w:val="left" w:pos="851"/>
        </w:tabs>
        <w:snapToGrid w:val="0"/>
        <w:spacing w:line="460" w:lineRule="exact"/>
        <w:ind w:left="851" w:hanging="851"/>
        <w:jc w:val="both"/>
        <w:rPr>
          <w:rFonts w:ascii="宋体" w:hAnsi="宋体"/>
          <w:b/>
          <w:bCs/>
          <w:highlight w:val="none"/>
        </w:rPr>
      </w:pPr>
      <w:r>
        <w:rPr>
          <w:rFonts w:hint="eastAsia" w:ascii="宋体" w:hAnsi="宋体"/>
          <w:b/>
          <w:bCs/>
          <w:highlight w:val="none"/>
        </w:rPr>
        <w:t>正本和电子响应文件一起封装，副本三份一起封装，在每一封口处加盖公章，封套上标明“正本”“副本”字样。</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封套均应按以下要求标记：</w:t>
      </w:r>
    </w:p>
    <w:p>
      <w:pPr>
        <w:snapToGrid w:val="0"/>
        <w:spacing w:line="460" w:lineRule="exact"/>
        <w:ind w:firstLine="840" w:firstLineChars="400"/>
        <w:jc w:val="both"/>
        <w:rPr>
          <w:rFonts w:hint="eastAsia" w:ascii="宋体" w:hAnsi="宋体" w:eastAsia="宋体"/>
          <w:highlight w:val="none"/>
          <w:lang w:eastAsia="zh-CN"/>
        </w:rPr>
      </w:pPr>
      <w:r>
        <w:rPr>
          <w:rFonts w:hint="eastAsia" w:ascii="宋体" w:hAnsi="宋体"/>
          <w:highlight w:val="none"/>
        </w:rPr>
        <w:t>“递交：</w:t>
      </w:r>
      <w:r>
        <w:rPr>
          <w:rFonts w:hint="eastAsia" w:ascii="宋体" w:hAnsi="宋体"/>
          <w:highlight w:val="none"/>
          <w:lang w:eastAsia="zh-CN"/>
        </w:rPr>
        <w:t>中山行远项目管理有限公司</w:t>
      </w:r>
    </w:p>
    <w:p>
      <w:pPr>
        <w:spacing w:line="460" w:lineRule="exact"/>
        <w:ind w:left="882" w:leftChars="420"/>
        <w:jc w:val="both"/>
        <w:rPr>
          <w:rFonts w:ascii="宋体" w:hAnsi="宋体"/>
          <w:highlight w:val="none"/>
        </w:rPr>
      </w:pPr>
      <w:r>
        <w:rPr>
          <w:rFonts w:hint="eastAsia" w:ascii="宋体" w:hAnsi="宋体"/>
          <w:highlight w:val="none"/>
        </w:rPr>
        <w:t>项目名称：</w:t>
      </w:r>
      <w:r>
        <w:rPr>
          <w:rFonts w:hint="eastAsia" w:ascii="宋体" w:hAnsi="宋体"/>
          <w:highlight w:val="none"/>
          <w:u w:val="single"/>
        </w:rPr>
        <w:t>（项目名称）</w:t>
      </w:r>
      <w:r>
        <w:rPr>
          <w:rFonts w:hint="eastAsia" w:ascii="宋体" w:hAnsi="宋体"/>
          <w:highlight w:val="none"/>
        </w:rPr>
        <w:t xml:space="preserve">         </w:t>
      </w:r>
    </w:p>
    <w:p>
      <w:pPr>
        <w:spacing w:line="460" w:lineRule="exact"/>
        <w:ind w:left="882" w:leftChars="420"/>
        <w:jc w:val="both"/>
        <w:rPr>
          <w:rFonts w:ascii="宋体" w:hAnsi="宋体"/>
          <w:highlight w:val="none"/>
          <w:u w:val="single"/>
        </w:rPr>
      </w:pPr>
      <w:r>
        <w:rPr>
          <w:rFonts w:hint="eastAsia" w:ascii="宋体" w:hAnsi="宋体"/>
          <w:highlight w:val="none"/>
        </w:rPr>
        <w:t>项目编号：</w:t>
      </w:r>
      <w:r>
        <w:rPr>
          <w:rFonts w:hint="eastAsia" w:ascii="宋体" w:hAnsi="宋体"/>
          <w:highlight w:val="none"/>
          <w:u w:val="single"/>
        </w:rPr>
        <w:t>（项目编号）</w:t>
      </w:r>
      <w:r>
        <w:rPr>
          <w:rFonts w:hint="eastAsia" w:ascii="宋体" w:hAnsi="宋体"/>
          <w:highlight w:val="none"/>
        </w:rPr>
        <w:t xml:space="preserve">   </w:t>
      </w:r>
    </w:p>
    <w:p>
      <w:pPr>
        <w:spacing w:line="460" w:lineRule="exact"/>
        <w:ind w:left="882" w:leftChars="420"/>
        <w:jc w:val="both"/>
        <w:rPr>
          <w:rFonts w:ascii="宋体" w:hAnsi="宋体"/>
          <w:highlight w:val="none"/>
          <w:u w:val="single"/>
        </w:rPr>
      </w:pPr>
      <w:r>
        <w:rPr>
          <w:rFonts w:hint="eastAsia" w:ascii="宋体" w:hAnsi="宋体"/>
          <w:highlight w:val="none"/>
        </w:rPr>
        <w:t>在</w:t>
      </w:r>
      <w:r>
        <w:rPr>
          <w:rFonts w:hint="eastAsia" w:ascii="宋体" w:hAnsi="宋体"/>
          <w:highlight w:val="none"/>
          <w:u w:val="single"/>
        </w:rPr>
        <w:t>（第一次报价截止时间）</w:t>
      </w:r>
      <w:r>
        <w:rPr>
          <w:rFonts w:hint="eastAsia" w:ascii="宋体" w:hAnsi="宋体"/>
          <w:highlight w:val="none"/>
        </w:rPr>
        <w:t>前不得启封”的字样。</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封套均应写明供应商名称和地址，以便如果其报价被宣布为“迟到”报价时，能原封退回。</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如果封套未按本须知的要求密封和加写标记，采购代理机构有权拒绝其报价。</w:t>
      </w:r>
    </w:p>
    <w:p>
      <w:pPr>
        <w:snapToGrid w:val="0"/>
        <w:spacing w:line="460" w:lineRule="exact"/>
        <w:jc w:val="both"/>
        <w:rPr>
          <w:rFonts w:ascii="宋体" w:hAnsi="宋体"/>
          <w:b/>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第一次报价截止时间</w:t>
      </w:r>
    </w:p>
    <w:p>
      <w:pPr>
        <w:numPr>
          <w:ilvl w:val="1"/>
          <w:numId w:val="3"/>
        </w:numPr>
        <w:tabs>
          <w:tab w:val="left" w:pos="851"/>
        </w:tabs>
        <w:spacing w:line="460" w:lineRule="exact"/>
        <w:ind w:left="851" w:hanging="851"/>
        <w:rPr>
          <w:rFonts w:ascii="宋体" w:hAnsi="宋体"/>
          <w:highlight w:val="none"/>
        </w:rPr>
      </w:pPr>
      <w:r>
        <w:rPr>
          <w:rFonts w:hint="eastAsia" w:ascii="宋体" w:hAnsi="宋体"/>
          <w:highlight w:val="none"/>
        </w:rPr>
        <w:t>本次磋商的第一次报价截止时间见第一部分《竞争性磋商邀请函》的“</w:t>
      </w:r>
      <w:r>
        <w:rPr>
          <w:rFonts w:hint="eastAsia" w:ascii="宋体" w:hAnsi="宋体"/>
          <w:szCs w:val="21"/>
          <w:highlight w:val="none"/>
        </w:rPr>
        <w:t>响应文件递交截止时间</w:t>
      </w:r>
      <w:r>
        <w:rPr>
          <w:rFonts w:hint="eastAsia" w:ascii="宋体" w:hAnsi="宋体"/>
          <w:highlight w:val="none"/>
        </w:rPr>
        <w:t>”规定。</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本次磋商的响应文件递交时间见第一部分《竞争性磋商邀请函》的规定，采购代理机构收到响应文件的时间不得迟于规定的截止时间。</w:t>
      </w:r>
    </w:p>
    <w:p>
      <w:pPr>
        <w:numPr>
          <w:ilvl w:val="1"/>
          <w:numId w:val="3"/>
        </w:numPr>
        <w:tabs>
          <w:tab w:val="left" w:leader="dot" w:pos="851"/>
        </w:tabs>
        <w:spacing w:line="460" w:lineRule="exact"/>
        <w:ind w:left="851" w:hanging="851"/>
        <w:jc w:val="both"/>
        <w:rPr>
          <w:rFonts w:ascii="宋体" w:hAnsi="宋体"/>
          <w:highlight w:val="none"/>
        </w:rPr>
      </w:pPr>
      <w:r>
        <w:rPr>
          <w:rFonts w:hint="eastAsia" w:ascii="宋体" w:hAnsi="宋体"/>
          <w:highlight w:val="none"/>
        </w:rPr>
        <w:t>在推迟了第一次报价截止时间的情况下，代理机构、采购人和供应商受报价截止时间制约的所有权利和义务均应延长至新的截止时间。</w:t>
      </w:r>
    </w:p>
    <w:p>
      <w:pPr>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迟交的响应文件</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采购代理机构将拒绝并原封退回在其规定的第一次报价截止时刻后收到的任何响应文件。</w:t>
      </w:r>
    </w:p>
    <w:p>
      <w:pPr>
        <w:snapToGrid w:val="0"/>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响应文件的修改与撤回</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磋商期间应磋商小组要求所作的报价修改和最终报价应在磋商小组规定的时间内递交。</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已提交响应文件的供应商，在提交最后报价之前，可以根据磋商情况退出磋商，但必须以书面形式通知采购代理机构。</w:t>
      </w:r>
    </w:p>
    <w:p>
      <w:pPr>
        <w:pStyle w:val="4"/>
        <w:rPr>
          <w:color w:val="auto"/>
          <w:highlight w:val="none"/>
        </w:rPr>
      </w:pPr>
      <w:bookmarkStart w:id="56" w:name="_Toc11089"/>
      <w:bookmarkStart w:id="57" w:name="_Toc1939_WPSOffice_Level2"/>
      <w:bookmarkStart w:id="58" w:name="_Toc465353218"/>
      <w:bookmarkStart w:id="59" w:name="_Toc29901"/>
      <w:bookmarkStart w:id="60" w:name="_Toc24264"/>
      <w:r>
        <w:rPr>
          <w:rFonts w:hint="eastAsia"/>
          <w:color w:val="auto"/>
          <w:highlight w:val="none"/>
        </w:rPr>
        <w:t>（五）磋商、</w:t>
      </w:r>
      <w:bookmarkEnd w:id="56"/>
      <w:bookmarkEnd w:id="57"/>
      <w:bookmarkEnd w:id="58"/>
      <w:bookmarkEnd w:id="59"/>
      <w:bookmarkEnd w:id="60"/>
      <w:r>
        <w:rPr>
          <w:rFonts w:hint="eastAsia"/>
          <w:color w:val="auto"/>
          <w:highlight w:val="none"/>
        </w:rPr>
        <w:t>中标（成交）</w:t>
      </w:r>
    </w:p>
    <w:p>
      <w:pPr>
        <w:snapToGrid w:val="0"/>
        <w:spacing w:line="460" w:lineRule="atLeast"/>
        <w:jc w:val="both"/>
        <w:rPr>
          <w:rFonts w:ascii="宋体" w:hAnsi="宋体"/>
          <w:b/>
          <w:sz w:val="24"/>
          <w:highlight w:val="none"/>
        </w:rPr>
      </w:pPr>
    </w:p>
    <w:p>
      <w:pPr>
        <w:numPr>
          <w:ilvl w:val="0"/>
          <w:numId w:val="3"/>
        </w:numPr>
        <w:snapToGrid w:val="0"/>
        <w:spacing w:line="460" w:lineRule="atLeast"/>
        <w:jc w:val="both"/>
        <w:rPr>
          <w:rFonts w:ascii="宋体" w:hAnsi="宋体"/>
          <w:b/>
          <w:sz w:val="24"/>
          <w:highlight w:val="none"/>
        </w:rPr>
      </w:pPr>
      <w:r>
        <w:rPr>
          <w:rFonts w:hint="eastAsia" w:ascii="宋体" w:hAnsi="宋体"/>
          <w:b/>
          <w:sz w:val="24"/>
          <w:highlight w:val="none"/>
        </w:rPr>
        <w:t xml:space="preserve">磋商小组  </w:t>
      </w:r>
    </w:p>
    <w:p>
      <w:pPr>
        <w:numPr>
          <w:ilvl w:val="1"/>
          <w:numId w:val="3"/>
        </w:numPr>
        <w:tabs>
          <w:tab w:val="left" w:pos="851"/>
        </w:tabs>
        <w:snapToGrid w:val="0"/>
        <w:spacing w:line="460" w:lineRule="atLeast"/>
        <w:ind w:left="851" w:hanging="851"/>
        <w:jc w:val="both"/>
        <w:rPr>
          <w:rFonts w:ascii="宋体" w:hAnsi="宋体"/>
          <w:b/>
          <w:sz w:val="24"/>
          <w:highlight w:val="none"/>
        </w:rPr>
      </w:pPr>
      <w:r>
        <w:rPr>
          <w:rFonts w:hint="eastAsia" w:ascii="宋体" w:hAnsi="宋体"/>
          <w:highlight w:val="none"/>
        </w:rPr>
        <w:t>采购代理机构将参照《中华人民共和国政府采购法》及有关法规，根据本项目的特点组成磋商小组，由采购人代表和有关方面的专家等三人（含三人）以上的单数组成，磋商小组负责对响应文件进行综合评审，评选出中标（成交）供应商候选人。评审有关记录由磋商小组成员签名，存档备查。</w:t>
      </w:r>
    </w:p>
    <w:p>
      <w:pPr>
        <w:rPr>
          <w:highlight w:val="none"/>
        </w:rPr>
      </w:pPr>
    </w:p>
    <w:p>
      <w:pPr>
        <w:numPr>
          <w:ilvl w:val="0"/>
          <w:numId w:val="3"/>
        </w:numPr>
        <w:snapToGrid w:val="0"/>
        <w:spacing w:line="460" w:lineRule="atLeast"/>
        <w:jc w:val="both"/>
        <w:rPr>
          <w:rFonts w:ascii="宋体" w:hAnsi="宋体"/>
          <w:b/>
          <w:sz w:val="24"/>
          <w:highlight w:val="none"/>
        </w:rPr>
      </w:pPr>
      <w:r>
        <w:rPr>
          <w:rFonts w:hint="eastAsia" w:ascii="宋体" w:hAnsi="宋体"/>
          <w:b/>
          <w:sz w:val="24"/>
          <w:highlight w:val="none"/>
        </w:rPr>
        <w:t xml:space="preserve">磋商原则和评审办法   </w:t>
      </w:r>
    </w:p>
    <w:p>
      <w:pPr>
        <w:numPr>
          <w:ilvl w:val="1"/>
          <w:numId w:val="3"/>
        </w:numPr>
        <w:tabs>
          <w:tab w:val="left" w:pos="851"/>
        </w:tabs>
        <w:snapToGrid w:val="0"/>
        <w:spacing w:line="460" w:lineRule="atLeast"/>
        <w:ind w:left="851" w:hanging="851"/>
        <w:jc w:val="both"/>
        <w:rPr>
          <w:highlight w:val="none"/>
        </w:rPr>
      </w:pPr>
      <w:r>
        <w:rPr>
          <w:rFonts w:hint="eastAsia"/>
          <w:highlight w:val="none"/>
        </w:rPr>
        <w:t>磋商原则“公平、公正、诚实、信用”为本次竞争性磋商的基本原则，磋商小组按照这一原则的要求，公正、平等地对待各</w:t>
      </w:r>
      <w:r>
        <w:rPr>
          <w:rFonts w:hint="eastAsia" w:ascii="宋体" w:hAnsi="宋体"/>
          <w:highlight w:val="none"/>
        </w:rPr>
        <w:t>供应商</w:t>
      </w:r>
      <w:r>
        <w:rPr>
          <w:rFonts w:hint="eastAsia"/>
          <w:highlight w:val="none"/>
        </w:rPr>
        <w:t xml:space="preserve">。  </w:t>
      </w:r>
    </w:p>
    <w:p>
      <w:pPr>
        <w:numPr>
          <w:ilvl w:val="1"/>
          <w:numId w:val="3"/>
        </w:numPr>
        <w:tabs>
          <w:tab w:val="left" w:pos="851"/>
        </w:tabs>
        <w:snapToGrid w:val="0"/>
        <w:spacing w:line="460" w:lineRule="atLeast"/>
        <w:ind w:left="851" w:hanging="851"/>
        <w:jc w:val="both"/>
        <w:rPr>
          <w:highlight w:val="none"/>
        </w:rPr>
      </w:pPr>
      <w:r>
        <w:rPr>
          <w:rFonts w:hint="eastAsia"/>
          <w:highlight w:val="none"/>
        </w:rPr>
        <w:t>评审办法</w:t>
      </w:r>
      <w:r>
        <w:rPr>
          <w:highlight w:val="none"/>
        </w:rPr>
        <w:t xml:space="preserve"> </w:t>
      </w:r>
    </w:p>
    <w:p>
      <w:pPr>
        <w:numPr>
          <w:ilvl w:val="0"/>
          <w:numId w:val="6"/>
        </w:numPr>
        <w:tabs>
          <w:tab w:val="left" w:pos="1166"/>
          <w:tab w:val="clear" w:pos="1695"/>
        </w:tabs>
        <w:spacing w:line="460" w:lineRule="atLeast"/>
        <w:ind w:left="1166"/>
        <w:rPr>
          <w:highlight w:val="none"/>
        </w:rPr>
      </w:pPr>
      <w:r>
        <w:rPr>
          <w:rFonts w:hint="eastAsia"/>
          <w:highlight w:val="none"/>
        </w:rPr>
        <w:t>本次项目采用综合评分法：对满足了磋商文件全部实质性要求，且提交最后报价的响应文件，磋商小组将按评审因素的量化指标评审得分最高的</w:t>
      </w:r>
      <w:r>
        <w:rPr>
          <w:rFonts w:hint="eastAsia" w:ascii="宋体" w:hAnsi="宋体"/>
          <w:highlight w:val="none"/>
        </w:rPr>
        <w:t>供应商</w:t>
      </w:r>
      <w:r>
        <w:rPr>
          <w:rFonts w:hint="eastAsia"/>
          <w:highlight w:val="none"/>
        </w:rPr>
        <w:t>推荐为中标（成交）候选</w:t>
      </w:r>
      <w:r>
        <w:rPr>
          <w:rFonts w:hint="eastAsia" w:ascii="宋体" w:hAnsi="宋体"/>
          <w:highlight w:val="none"/>
        </w:rPr>
        <w:t>供应商</w:t>
      </w:r>
      <w:r>
        <w:rPr>
          <w:rFonts w:hint="eastAsia"/>
          <w:highlight w:val="none"/>
        </w:rPr>
        <w:t>。</w:t>
      </w:r>
    </w:p>
    <w:p>
      <w:pPr>
        <w:numPr>
          <w:ilvl w:val="0"/>
          <w:numId w:val="6"/>
        </w:numPr>
        <w:tabs>
          <w:tab w:val="left" w:pos="1166"/>
          <w:tab w:val="clear" w:pos="1695"/>
        </w:tabs>
        <w:spacing w:line="460" w:lineRule="atLeast"/>
        <w:ind w:left="1166"/>
        <w:rPr>
          <w:highlight w:val="none"/>
        </w:rPr>
      </w:pPr>
      <w:r>
        <w:rPr>
          <w:rFonts w:hint="eastAsia"/>
          <w:highlight w:val="none"/>
        </w:rPr>
        <w:t xml:space="preserve">初步评审  </w:t>
      </w:r>
    </w:p>
    <w:p>
      <w:pPr>
        <w:numPr>
          <w:ilvl w:val="1"/>
          <w:numId w:val="6"/>
        </w:numPr>
        <w:tabs>
          <w:tab w:val="left" w:pos="1166"/>
          <w:tab w:val="clear" w:pos="1275"/>
        </w:tabs>
        <w:spacing w:line="460" w:lineRule="exact"/>
        <w:ind w:left="1166" w:hanging="424"/>
        <w:rPr>
          <w:highlight w:val="none"/>
        </w:rPr>
      </w:pPr>
      <w:r>
        <w:rPr>
          <w:rFonts w:hint="eastAsia"/>
          <w:highlight w:val="none"/>
        </w:rPr>
        <w:t xml:space="preserve">磋商小组审查响应文件是否符合磋商文件的基本要求：内容是否完整、资格证明文件是否合格、文件签署是否齐全、有无计算错误等； </w:t>
      </w:r>
    </w:p>
    <w:p>
      <w:pPr>
        <w:numPr>
          <w:ilvl w:val="1"/>
          <w:numId w:val="6"/>
        </w:numPr>
        <w:tabs>
          <w:tab w:val="left" w:pos="1166"/>
          <w:tab w:val="clear" w:pos="1275"/>
        </w:tabs>
        <w:spacing w:line="460" w:lineRule="exact"/>
        <w:ind w:left="1166" w:hanging="424"/>
        <w:rPr>
          <w:highlight w:val="none"/>
        </w:rPr>
      </w:pPr>
      <w:r>
        <w:rPr>
          <w:rFonts w:hint="eastAsia"/>
          <w:highlight w:val="none"/>
        </w:rPr>
        <w:t>磋商小组审查响应文件是否实质上响应磋商文件的要求：实质上响应的报价是指与磋商文件上的条款、条件和要求相符，没有重大偏离或保留，否则将视为无效报价；</w:t>
      </w:r>
    </w:p>
    <w:p>
      <w:pPr>
        <w:numPr>
          <w:ilvl w:val="1"/>
          <w:numId w:val="6"/>
        </w:numPr>
        <w:tabs>
          <w:tab w:val="left" w:pos="1166"/>
          <w:tab w:val="clear" w:pos="1275"/>
        </w:tabs>
        <w:spacing w:line="460" w:lineRule="exact"/>
        <w:ind w:left="1166" w:hanging="424"/>
        <w:rPr>
          <w:highlight w:val="none"/>
        </w:rPr>
      </w:pPr>
      <w:r>
        <w:rPr>
          <w:rFonts w:hint="eastAsia"/>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6"/>
        </w:numPr>
        <w:tabs>
          <w:tab w:val="left" w:pos="1166"/>
          <w:tab w:val="clear" w:pos="1275"/>
        </w:tabs>
        <w:spacing w:line="460" w:lineRule="exact"/>
        <w:ind w:left="1166" w:hanging="424"/>
        <w:rPr>
          <w:highlight w:val="none"/>
        </w:rPr>
      </w:pPr>
      <w:r>
        <w:rPr>
          <w:rFonts w:hint="eastAsia"/>
          <w:highlight w:val="none"/>
        </w:rPr>
        <w:t>磋商小组所有成员集中与</w:t>
      </w:r>
      <w:r>
        <w:rPr>
          <w:rFonts w:hint="eastAsia" w:ascii="宋体" w:hAnsi="宋体"/>
          <w:highlight w:val="none"/>
        </w:rPr>
        <w:t>供应商</w:t>
      </w:r>
      <w:r>
        <w:rPr>
          <w:rFonts w:hint="eastAsia"/>
          <w:highlight w:val="none"/>
        </w:rPr>
        <w:t>分别单独进行磋商。磋商小组根据</w:t>
      </w:r>
      <w:r>
        <w:rPr>
          <w:rFonts w:hint="eastAsia" w:ascii="宋体" w:hAnsi="宋体"/>
          <w:highlight w:val="none"/>
        </w:rPr>
        <w:t>供应商</w:t>
      </w:r>
      <w:r>
        <w:rPr>
          <w:rFonts w:hint="eastAsia"/>
          <w:highlight w:val="none"/>
        </w:rPr>
        <w:t>的报价、响应内容及磋商的情况，要求各</w:t>
      </w:r>
      <w:r>
        <w:rPr>
          <w:rFonts w:hint="eastAsia" w:ascii="宋体" w:hAnsi="宋体"/>
          <w:highlight w:val="none"/>
        </w:rPr>
        <w:t>供应商</w:t>
      </w:r>
      <w:r>
        <w:rPr>
          <w:rFonts w:hint="eastAsia"/>
          <w:highlight w:val="none"/>
        </w:rPr>
        <w:t>分别进行第二次报价，如果磋商小组认为有必要，可进行增加报价次数。磋商结束，</w:t>
      </w:r>
      <w:r>
        <w:rPr>
          <w:rFonts w:hint="eastAsia" w:ascii="宋体" w:hAnsi="宋体"/>
          <w:highlight w:val="none"/>
        </w:rPr>
        <w:t>供应商</w:t>
      </w:r>
      <w:r>
        <w:rPr>
          <w:rFonts w:hint="eastAsia"/>
          <w:highlight w:val="none"/>
        </w:rPr>
        <w:t>法定代表人或授权代理人对磋商的承诺和二次报价书面签字确认。除非在磋商过程中磋商小组对用户需求内容作了调整增加，或对采购内容作了实质性变更，否则采购人不接受高于前面轮次磋商报价的最终报价。</w:t>
      </w:r>
    </w:p>
    <w:p>
      <w:pPr>
        <w:numPr>
          <w:ilvl w:val="1"/>
          <w:numId w:val="6"/>
        </w:numPr>
        <w:tabs>
          <w:tab w:val="left" w:pos="1166"/>
          <w:tab w:val="clear" w:pos="1275"/>
        </w:tabs>
        <w:spacing w:line="460" w:lineRule="exact"/>
        <w:ind w:left="1166" w:hanging="424"/>
        <w:rPr>
          <w:highlight w:val="none"/>
        </w:rPr>
      </w:pPr>
      <w:r>
        <w:rPr>
          <w:rFonts w:hint="eastAsia"/>
          <w:highlight w:val="none"/>
        </w:rPr>
        <w:t>对磋商文件作出的实质性变动是磋商文件的有效组成部分，磋商小组将及时以书面形式同时通知所有参加磋商的</w:t>
      </w:r>
      <w:r>
        <w:rPr>
          <w:rFonts w:hint="eastAsia" w:ascii="宋体" w:hAnsi="宋体"/>
          <w:highlight w:val="none"/>
        </w:rPr>
        <w:t>供应商</w:t>
      </w:r>
      <w:r>
        <w:rPr>
          <w:rFonts w:hint="eastAsia"/>
          <w:highlight w:val="none"/>
        </w:rPr>
        <w:t>。</w:t>
      </w:r>
    </w:p>
    <w:p>
      <w:pPr>
        <w:numPr>
          <w:ilvl w:val="1"/>
          <w:numId w:val="6"/>
        </w:numPr>
        <w:tabs>
          <w:tab w:val="left" w:pos="1166"/>
          <w:tab w:val="clear" w:pos="1275"/>
        </w:tabs>
        <w:spacing w:line="460" w:lineRule="exact"/>
        <w:ind w:left="1166" w:hanging="424"/>
        <w:rPr>
          <w:highlight w:val="none"/>
        </w:rPr>
      </w:pPr>
      <w:r>
        <w:rPr>
          <w:rFonts w:hint="eastAsia"/>
          <w:highlight w:val="none"/>
        </w:rPr>
        <w:t>响应文件的澄清磋商小组有权要求</w:t>
      </w:r>
      <w:r>
        <w:rPr>
          <w:rFonts w:hint="eastAsia" w:ascii="宋体" w:hAnsi="宋体"/>
          <w:highlight w:val="none"/>
        </w:rPr>
        <w:t>供应商</w:t>
      </w:r>
      <w:r>
        <w:rPr>
          <w:rFonts w:hint="eastAsia"/>
          <w:highlight w:val="none"/>
        </w:rPr>
        <w:t xml:space="preserve">对响应文件中含义不明确、对同类问题表述不一致或者有明显文字和计算错误等内容作必要的澄清、说明或者补正。 </w:t>
      </w:r>
    </w:p>
    <w:p>
      <w:pPr>
        <w:numPr>
          <w:ilvl w:val="1"/>
          <w:numId w:val="6"/>
        </w:numPr>
        <w:tabs>
          <w:tab w:val="left" w:pos="1166"/>
          <w:tab w:val="clear" w:pos="1275"/>
        </w:tabs>
        <w:spacing w:line="460" w:lineRule="exact"/>
        <w:ind w:left="1166" w:hanging="424"/>
        <w:rPr>
          <w:highlight w:val="none"/>
        </w:rPr>
      </w:pPr>
      <w:r>
        <w:rPr>
          <w:rFonts w:hint="eastAsia" w:ascii="宋体" w:hAnsi="宋体"/>
          <w:highlight w:val="none"/>
        </w:rPr>
        <w:t>在磋商过程中，供应商提交的澄清文件和最终响应文件，由供应商法人代表或授权代表签署后生效，供应商应受其约束。</w:t>
      </w:r>
    </w:p>
    <w:p>
      <w:pPr>
        <w:numPr>
          <w:ilvl w:val="1"/>
          <w:numId w:val="6"/>
        </w:numPr>
        <w:tabs>
          <w:tab w:val="left" w:pos="1166"/>
          <w:tab w:val="clear" w:pos="1275"/>
        </w:tabs>
        <w:spacing w:line="460" w:lineRule="exact"/>
        <w:ind w:left="1166" w:hanging="424"/>
        <w:rPr>
          <w:highlight w:val="none"/>
        </w:rPr>
      </w:pPr>
      <w:r>
        <w:rPr>
          <w:rFonts w:hint="eastAsia"/>
          <w:highlight w:val="none"/>
        </w:rPr>
        <w:t>详细评审，综合评分：磋商小组对</w:t>
      </w:r>
      <w:r>
        <w:rPr>
          <w:rFonts w:hint="eastAsia" w:ascii="宋体" w:hAnsi="宋体"/>
          <w:highlight w:val="none"/>
        </w:rPr>
        <w:t>供应商</w:t>
      </w:r>
      <w:r>
        <w:rPr>
          <w:rFonts w:hint="eastAsia"/>
          <w:highlight w:val="none"/>
        </w:rPr>
        <w:t>进行综合分析、比较和评分（评审标准详见附表）。</w:t>
      </w:r>
    </w:p>
    <w:p>
      <w:pPr>
        <w:spacing w:line="460" w:lineRule="exact"/>
        <w:ind w:left="742"/>
        <w:rPr>
          <w:highlight w:val="none"/>
        </w:rPr>
      </w:pPr>
    </w:p>
    <w:p>
      <w:pPr>
        <w:numPr>
          <w:ilvl w:val="0"/>
          <w:numId w:val="3"/>
        </w:numPr>
        <w:spacing w:line="460" w:lineRule="exact"/>
        <w:rPr>
          <w:rFonts w:ascii="宋体" w:hAnsi="宋体"/>
          <w:b/>
          <w:sz w:val="24"/>
          <w:highlight w:val="none"/>
        </w:rPr>
      </w:pPr>
      <w:r>
        <w:rPr>
          <w:rFonts w:hint="eastAsia" w:hAnsi="宋体"/>
          <w:b/>
          <w:sz w:val="24"/>
          <w:highlight w:val="none"/>
        </w:rPr>
        <w:t>详细评审</w:t>
      </w:r>
    </w:p>
    <w:p>
      <w:pPr>
        <w:numPr>
          <w:ilvl w:val="1"/>
          <w:numId w:val="3"/>
        </w:numPr>
        <w:tabs>
          <w:tab w:val="left" w:pos="0"/>
          <w:tab w:val="left" w:pos="851"/>
        </w:tabs>
        <w:spacing w:line="460" w:lineRule="exact"/>
        <w:ind w:left="851" w:hanging="851"/>
        <w:jc w:val="both"/>
        <w:rPr>
          <w:rFonts w:hAnsi="宋体"/>
          <w:highlight w:val="none"/>
        </w:rPr>
      </w:pPr>
      <w:r>
        <w:rPr>
          <w:rFonts w:hint="eastAsia" w:hAnsi="宋体"/>
          <w:highlight w:val="none"/>
        </w:rPr>
        <w:t>磋商小组对通过符合性评审的响应文件进行详细评审，磋商小组对每一响应文件进行详细技术商务、价格评审。按照评标程序的规定和依据评分标准以及各项权重，各位评委就每个</w:t>
      </w:r>
      <w:r>
        <w:rPr>
          <w:rFonts w:hint="eastAsia" w:ascii="宋体" w:hAnsi="宋体"/>
          <w:highlight w:val="none"/>
        </w:rPr>
        <w:t>供应商</w:t>
      </w:r>
      <w:r>
        <w:rPr>
          <w:rFonts w:hint="eastAsia" w:hAnsi="宋体"/>
          <w:highlight w:val="none"/>
        </w:rPr>
        <w:t>的技术状况、商务状况及其对磋商文件要求的响应情况进行评议和比较，评出其技术商务评分（精确到小数点后2位）。将各磋商小组成员的技术商务评分平均值再乘以响应权重的值分别为该</w:t>
      </w:r>
      <w:r>
        <w:rPr>
          <w:rFonts w:hint="eastAsia" w:ascii="宋体" w:hAnsi="宋体"/>
          <w:highlight w:val="none"/>
        </w:rPr>
        <w:t>供应商</w:t>
      </w:r>
      <w:r>
        <w:rPr>
          <w:rFonts w:hint="eastAsia" w:hAnsi="宋体"/>
          <w:highlight w:val="none"/>
        </w:rPr>
        <w:t>的技术商务得分。然后，评出</w:t>
      </w:r>
      <w:r>
        <w:rPr>
          <w:rFonts w:hint="eastAsia" w:ascii="宋体" w:hAnsi="宋体"/>
          <w:highlight w:val="none"/>
        </w:rPr>
        <w:t>供应商</w:t>
      </w:r>
      <w:r>
        <w:rPr>
          <w:rFonts w:hint="eastAsia" w:hAnsi="宋体"/>
          <w:highlight w:val="none"/>
        </w:rPr>
        <w:t>的价格得分。将各</w:t>
      </w:r>
      <w:r>
        <w:rPr>
          <w:rFonts w:hint="eastAsia" w:ascii="宋体" w:hAnsi="宋体"/>
          <w:highlight w:val="none"/>
        </w:rPr>
        <w:t>供应商</w:t>
      </w:r>
      <w:r>
        <w:rPr>
          <w:rFonts w:hint="eastAsia" w:hAnsi="宋体"/>
          <w:highlight w:val="none"/>
        </w:rPr>
        <w:t>的技术商务得分和投标报价得分相加得出其综合得分（精确到小数点后2位），并按综合得分从高到低依次排名（第一名、第二名 … ，出现并列得分时，价格低者优先；得分相同，价格相同的，价格得分高者优先）。最后，磋商小组将依据综合得分的次序推荐中标（成交）</w:t>
      </w:r>
      <w:r>
        <w:rPr>
          <w:rFonts w:hint="eastAsia" w:ascii="宋体" w:hAnsi="宋体"/>
          <w:highlight w:val="none"/>
        </w:rPr>
        <w:t>供应商</w:t>
      </w:r>
      <w:r>
        <w:rPr>
          <w:rFonts w:hint="eastAsia" w:hAnsi="宋体"/>
          <w:highlight w:val="none"/>
        </w:rPr>
        <w:t>候选人。</w:t>
      </w:r>
    </w:p>
    <w:p>
      <w:pPr>
        <w:numPr>
          <w:ilvl w:val="1"/>
          <w:numId w:val="3"/>
        </w:numPr>
        <w:tabs>
          <w:tab w:val="left" w:pos="0"/>
          <w:tab w:val="left" w:pos="851"/>
        </w:tabs>
        <w:spacing w:line="460" w:lineRule="exact"/>
        <w:ind w:left="851" w:hanging="851"/>
        <w:jc w:val="both"/>
        <w:rPr>
          <w:rFonts w:hAnsi="宋体"/>
          <w:highlight w:val="none"/>
        </w:rPr>
      </w:pPr>
      <w:r>
        <w:rPr>
          <w:rFonts w:hint="eastAsia" w:hAnsi="宋体"/>
          <w:highlight w:val="none"/>
        </w:rPr>
        <w:t>评分标准：</w:t>
      </w:r>
    </w:p>
    <w:p>
      <w:pPr>
        <w:spacing w:line="460" w:lineRule="exact"/>
        <w:ind w:left="848"/>
        <w:rPr>
          <w:rFonts w:ascii="宋体" w:hAnsi="宋体"/>
          <w:highlight w:val="none"/>
        </w:rPr>
      </w:pPr>
      <w:r>
        <w:rPr>
          <w:rFonts w:hint="eastAsia" w:ascii="宋体" w:hAnsi="宋体"/>
          <w:highlight w:val="none"/>
        </w:rPr>
        <w:t>a）商务技术评分标准：详见表3-2。</w:t>
      </w:r>
    </w:p>
    <w:p>
      <w:pPr>
        <w:spacing w:line="460" w:lineRule="exact"/>
        <w:ind w:left="848"/>
        <w:rPr>
          <w:rFonts w:ascii="宋体" w:hAnsi="宋体"/>
          <w:highlight w:val="none"/>
        </w:rPr>
      </w:pPr>
      <w:r>
        <w:rPr>
          <w:rFonts w:hint="eastAsia" w:ascii="宋体" w:hAnsi="宋体"/>
          <w:highlight w:val="none"/>
        </w:rPr>
        <w:t>b）价格的核准和评分</w:t>
      </w:r>
    </w:p>
    <w:p>
      <w:pPr>
        <w:numPr>
          <w:ilvl w:val="0"/>
          <w:numId w:val="7"/>
        </w:numPr>
        <w:spacing w:line="460" w:lineRule="exact"/>
        <w:rPr>
          <w:rFonts w:ascii="宋体" w:hAnsi="宋体"/>
          <w:highlight w:val="none"/>
        </w:rPr>
      </w:pPr>
      <w:r>
        <w:rPr>
          <w:rFonts w:hint="eastAsia" w:ascii="宋体" w:hAnsi="宋体"/>
          <w:highlight w:val="none"/>
        </w:rPr>
        <w:t>磋商小组详细分析、核准价格表，看其是否有计算上或累加上的算术错误，修正错误的原则如下：</w:t>
      </w:r>
    </w:p>
    <w:p>
      <w:pPr>
        <w:spacing w:line="460" w:lineRule="exact"/>
        <w:ind w:left="840"/>
        <w:rPr>
          <w:rFonts w:ascii="宋体"/>
          <w:highlight w:val="none"/>
        </w:rPr>
      </w:pPr>
      <w:r>
        <w:rPr>
          <w:rFonts w:hint="eastAsia" w:ascii="宋体"/>
          <w:highlight w:val="none"/>
        </w:rPr>
        <w:t xml:space="preserve">    ①若响应文件中的大写金额和小写金额不一致时，以大写金额为准；</w:t>
      </w:r>
    </w:p>
    <w:p>
      <w:pPr>
        <w:spacing w:line="460" w:lineRule="exact"/>
        <w:ind w:left="840"/>
        <w:rPr>
          <w:rFonts w:ascii="宋体"/>
          <w:highlight w:val="none"/>
        </w:rPr>
      </w:pPr>
      <w:r>
        <w:rPr>
          <w:rFonts w:hint="eastAsia" w:ascii="宋体"/>
          <w:highlight w:val="none"/>
        </w:rPr>
        <w:t xml:space="preserve">    ②当单价与数量的乘积与总价不一致时，以单价为准，并修正总价；</w:t>
      </w:r>
    </w:p>
    <w:p>
      <w:pPr>
        <w:spacing w:line="460" w:lineRule="exact"/>
        <w:ind w:left="1470" w:hanging="630"/>
        <w:rPr>
          <w:rFonts w:ascii="宋体"/>
          <w:highlight w:val="none"/>
        </w:rPr>
      </w:pPr>
      <w:r>
        <w:rPr>
          <w:rFonts w:hint="eastAsia" w:ascii="宋体"/>
          <w:highlight w:val="none"/>
        </w:rPr>
        <w:t xml:space="preserve">    ③采购人需要的服务和附带备品、配件所需的费用，如果</w:t>
      </w:r>
      <w:r>
        <w:rPr>
          <w:rFonts w:hint="eastAsia" w:ascii="宋体" w:hAnsi="宋体"/>
          <w:highlight w:val="none"/>
        </w:rPr>
        <w:t>供应商</w:t>
      </w:r>
      <w:r>
        <w:rPr>
          <w:rFonts w:hint="eastAsia" w:ascii="宋体"/>
          <w:highlight w:val="none"/>
        </w:rPr>
        <w:t>是另外单独报价的话，评分时计入投标报价总价；</w:t>
      </w:r>
    </w:p>
    <w:p>
      <w:pPr>
        <w:spacing w:line="460" w:lineRule="exact"/>
        <w:ind w:left="1470" w:leftChars="600" w:hanging="210" w:hangingChars="100"/>
        <w:rPr>
          <w:rFonts w:ascii="宋体" w:hAnsi="宋体"/>
          <w:highlight w:val="none"/>
        </w:rPr>
      </w:pPr>
      <w:r>
        <w:rPr>
          <w:rFonts w:hint="eastAsia" w:ascii="宋体" w:hAnsi="宋体"/>
          <w:highlight w:val="none"/>
        </w:rPr>
        <w:t>④磋商小组认为应该调整的价格。</w:t>
      </w:r>
    </w:p>
    <w:p>
      <w:pPr>
        <w:spacing w:line="460" w:lineRule="exact"/>
        <w:ind w:firstLine="1260" w:firstLineChars="600"/>
        <w:rPr>
          <w:rFonts w:ascii="宋体" w:hAnsi="宋体"/>
          <w:highlight w:val="none"/>
        </w:rPr>
      </w:pPr>
      <w:r>
        <w:rPr>
          <w:rFonts w:hint="eastAsia" w:ascii="宋体" w:hAnsi="宋体"/>
          <w:highlight w:val="none"/>
        </w:rPr>
        <w:t>⑤供应商最终报价超出项目预算或报价上限价的将不予接受。</w:t>
      </w:r>
    </w:p>
    <w:p>
      <w:pPr>
        <w:numPr>
          <w:ilvl w:val="0"/>
          <w:numId w:val="7"/>
        </w:numPr>
        <w:spacing w:line="460" w:lineRule="exact"/>
        <w:rPr>
          <w:rFonts w:ascii="宋体"/>
          <w:highlight w:val="none"/>
        </w:rPr>
      </w:pPr>
      <w:r>
        <w:rPr>
          <w:rFonts w:hint="eastAsia" w:ascii="宋体"/>
          <w:highlight w:val="none"/>
        </w:rPr>
        <w:t>磋商小组将按上述修正错误的方法调整响应文件中的投标报价，调整后的价格对</w:t>
      </w:r>
      <w:r>
        <w:rPr>
          <w:rFonts w:hint="eastAsia" w:ascii="宋体" w:hAnsi="宋体"/>
          <w:highlight w:val="none"/>
        </w:rPr>
        <w:t>供应商</w:t>
      </w:r>
      <w:r>
        <w:rPr>
          <w:rFonts w:hint="eastAsia" w:ascii="宋体"/>
          <w:highlight w:val="none"/>
        </w:rPr>
        <w:t>具有约束力。如果</w:t>
      </w:r>
      <w:r>
        <w:rPr>
          <w:rFonts w:hint="eastAsia" w:ascii="宋体" w:hAnsi="宋体"/>
          <w:highlight w:val="none"/>
        </w:rPr>
        <w:t>供应商</w:t>
      </w:r>
      <w:r>
        <w:rPr>
          <w:rFonts w:hint="eastAsia" w:ascii="宋体"/>
          <w:highlight w:val="none"/>
        </w:rPr>
        <w:t>不接受修正后的价格，则其报价将被拒绝。</w:t>
      </w:r>
    </w:p>
    <w:p>
      <w:pPr>
        <w:numPr>
          <w:ilvl w:val="0"/>
          <w:numId w:val="8"/>
        </w:numPr>
        <w:spacing w:line="460" w:lineRule="exact"/>
        <w:rPr>
          <w:rFonts w:ascii="宋体" w:hAnsi="宋体"/>
          <w:highlight w:val="none"/>
        </w:rPr>
      </w:pPr>
      <w:r>
        <w:rPr>
          <w:rFonts w:hint="eastAsia" w:ascii="宋体"/>
          <w:highlight w:val="none"/>
        </w:rPr>
        <w:t>参照对小型或微型企业投标（参与政府采购报价）的扶持：</w:t>
      </w:r>
    </w:p>
    <w:p>
      <w:pPr>
        <w:numPr>
          <w:ilvl w:val="0"/>
          <w:numId w:val="9"/>
        </w:numPr>
        <w:spacing w:line="360" w:lineRule="auto"/>
        <w:rPr>
          <w:rFonts w:hAnsi="宋体" w:cs="宋体"/>
          <w:kern w:val="2"/>
          <w:szCs w:val="21"/>
          <w:highlight w:val="none"/>
        </w:rPr>
      </w:pPr>
      <w:r>
        <w:rPr>
          <w:rFonts w:hint="eastAsia" w:hAnsi="宋体" w:cs="宋体"/>
          <w:kern w:val="2"/>
          <w:szCs w:val="21"/>
          <w:highlight w:val="none"/>
          <w:lang w:bidi="ar"/>
        </w:rPr>
        <w:t>根据财政部、工业和信息化部印发的《政府采购促进中小企业发展管理办法》（财库﹝2020﹞46 号）的规定，供应商为小型或微型企业时，报价给予</w:t>
      </w:r>
      <w:r>
        <w:rPr>
          <w:rFonts w:hint="eastAsia" w:hAnsi="宋体" w:cs="宋体"/>
          <w:kern w:val="2"/>
          <w:szCs w:val="21"/>
          <w:highlight w:val="none"/>
          <w:lang w:val="en-US" w:eastAsia="zh-CN" w:bidi="ar"/>
        </w:rPr>
        <w:t>5</w:t>
      </w:r>
      <w:r>
        <w:rPr>
          <w:rFonts w:hint="eastAsia" w:hAnsi="宋体" w:cs="宋体"/>
          <w:kern w:val="2"/>
          <w:szCs w:val="21"/>
          <w:highlight w:val="none"/>
          <w:lang w:bidi="ar"/>
        </w:rPr>
        <w:t>%的价格扣除，即：评标价格＝核实后的投标总价－小型或微型企业核实后的价格×</w:t>
      </w:r>
      <w:r>
        <w:rPr>
          <w:rFonts w:hint="eastAsia" w:hAnsi="宋体" w:cs="宋体"/>
          <w:kern w:val="2"/>
          <w:szCs w:val="21"/>
          <w:highlight w:val="none"/>
          <w:lang w:val="en-US" w:eastAsia="zh-CN" w:bidi="ar"/>
        </w:rPr>
        <w:t>5</w:t>
      </w:r>
      <w:r>
        <w:rPr>
          <w:rFonts w:hint="eastAsia" w:hAnsi="宋体" w:cs="宋体"/>
          <w:kern w:val="2"/>
          <w:szCs w:val="21"/>
          <w:highlight w:val="none"/>
          <w:lang w:bidi="ar"/>
        </w:rPr>
        <w:t>%；</w:t>
      </w:r>
    </w:p>
    <w:p>
      <w:pPr>
        <w:numPr>
          <w:ilvl w:val="0"/>
          <w:numId w:val="9"/>
        </w:numPr>
        <w:spacing w:line="360" w:lineRule="auto"/>
        <w:rPr>
          <w:rFonts w:hAnsi="宋体" w:cs="宋体"/>
          <w:kern w:val="2"/>
          <w:szCs w:val="21"/>
          <w:highlight w:val="none"/>
        </w:rPr>
      </w:pPr>
      <w:r>
        <w:rPr>
          <w:rFonts w:hint="eastAsia" w:hAnsi="宋体" w:cs="宋体"/>
          <w:kern w:val="2"/>
          <w:szCs w:val="21"/>
          <w:highlight w:val="none"/>
          <w:lang w:bidi="ar"/>
        </w:rPr>
        <w:t>本条款所称小型或微型企业应当符合以下条件：</w:t>
      </w:r>
    </w:p>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a、《政府采购促进中小企业发展暂行办法》所称中小企业（含中型、小型、微型企业，下同）应当同时符合以下条件：</w:t>
      </w:r>
    </w:p>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b、符合中小企业划分标准；</w:t>
      </w:r>
    </w:p>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c、提供本企业制造的货物、承担的工程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小型、微型企业提供中型企业制造的货物的，视同为中型企业。</w:t>
      </w:r>
    </w:p>
    <w:p>
      <w:pPr>
        <w:tabs>
          <w:tab w:val="left" w:pos="640"/>
        </w:tabs>
        <w:spacing w:line="360" w:lineRule="auto"/>
        <w:ind w:firstLine="630" w:firstLineChars="300"/>
        <w:rPr>
          <w:rFonts w:hAnsi="宋体" w:cs="宋体"/>
          <w:kern w:val="2"/>
          <w:szCs w:val="21"/>
          <w:highlight w:val="none"/>
        </w:rPr>
      </w:pPr>
      <w:r>
        <w:rPr>
          <w:rFonts w:hint="eastAsia" w:hAnsi="宋体" w:cs="宋体"/>
          <w:szCs w:val="21"/>
          <w:highlight w:val="none"/>
        </w:rPr>
        <w:t>d、参加政府采购活动的中小企业应当提供《中小企业声明函》（格式见第五部分响应文件格式），如供应商为非制造商，其代理产品的制造商也应同时提交《中小企业声明函》，否则评审时不能享受相应的价格扣除。</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监狱企业产品价格扣除：</w:t>
      </w:r>
    </w:p>
    <w:p>
      <w:pPr>
        <w:numPr>
          <w:ilvl w:val="0"/>
          <w:numId w:val="11"/>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根据财政部印发的《司法部关于政府采购支持监狱企业发展有关问题》的通知（财库〔2014〕68号）的规定，支持监狱和戒毒企业（简称“监狱企业”）发展，监狱企业视同中小企业给予相当中小企业的价格扣除。监狱企业参加政府采购活动时，应当提供由省级以上监狱管理局、戒毒管理局（含新疆生产建设兵团）出具的属于监狱企业的证明文件，否则视为非监狱企业。</w:t>
      </w:r>
    </w:p>
    <w:p>
      <w:pPr>
        <w:numPr>
          <w:ilvl w:val="0"/>
          <w:numId w:val="11"/>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残疾人福利性单位产品价格扣除：</w:t>
      </w:r>
    </w:p>
    <w:p>
      <w:pPr>
        <w:numPr>
          <w:ilvl w:val="0"/>
          <w:numId w:val="12"/>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残疾人福利性单位视同小型、微型企业，给予相当中小企业的价格扣除。</w:t>
      </w:r>
    </w:p>
    <w:p>
      <w:pPr>
        <w:numPr>
          <w:ilvl w:val="0"/>
          <w:numId w:val="12"/>
        </w:numPr>
        <w:tabs>
          <w:tab w:val="left" w:pos="640"/>
          <w:tab w:val="clear" w:pos="1260"/>
        </w:tabs>
        <w:spacing w:line="360" w:lineRule="auto"/>
        <w:ind w:left="640" w:hanging="640"/>
        <w:rPr>
          <w:rFonts w:hAnsi="宋体" w:cs="宋体"/>
          <w:szCs w:val="21"/>
          <w:highlight w:val="none"/>
        </w:rPr>
      </w:pPr>
      <w:r>
        <w:rPr>
          <w:rFonts w:hint="eastAsia" w:hAnsi="宋体" w:cs="宋体"/>
          <w:bCs/>
          <w:szCs w:val="21"/>
          <w:highlight w:val="none"/>
        </w:rPr>
        <w:t>根据财政部、民政部、中国残疾人联合会印发的《关于促进残疾人就业政府采购政策的通知》（财库〔2017〕141号）的规定，符合条件的残疾人福利性单位在参加政府采购活动时，应当提供该通知规定的《残疾人福利性单位声明函》（格式见第五部分响应文件格式），并对</w:t>
      </w:r>
      <w:r>
        <w:rPr>
          <w:rFonts w:hint="eastAsia" w:hAnsi="宋体" w:cs="宋体"/>
          <w:szCs w:val="21"/>
          <w:highlight w:val="none"/>
        </w:rPr>
        <w:t>声明的真实性</w:t>
      </w:r>
      <w:r>
        <w:rPr>
          <w:rFonts w:hint="eastAsia" w:hAnsi="宋体" w:cs="宋体"/>
          <w:bCs/>
          <w:szCs w:val="21"/>
          <w:highlight w:val="none"/>
        </w:rPr>
        <w:t>负责，否则视为非残疾人福利性单位</w:t>
      </w:r>
      <w:r>
        <w:rPr>
          <w:rFonts w:hint="eastAsia" w:hAnsi="宋体" w:cs="宋体"/>
          <w:szCs w:val="21"/>
          <w:highlight w:val="none"/>
        </w:rPr>
        <w:t>。供应商提供的《残疾人福利性单位声明函》与事实不符的，依照《政府采购法》第七十七条第一款的规定追究法律责任。</w:t>
      </w:r>
    </w:p>
    <w:p>
      <w:pPr>
        <w:numPr>
          <w:ilvl w:val="0"/>
          <w:numId w:val="12"/>
        </w:numPr>
        <w:tabs>
          <w:tab w:val="left" w:pos="640"/>
          <w:tab w:val="clear" w:pos="1260"/>
        </w:tabs>
        <w:spacing w:line="360" w:lineRule="auto"/>
        <w:ind w:left="640" w:hanging="640"/>
        <w:rPr>
          <w:rFonts w:hAnsi="宋体" w:cs="宋体"/>
          <w:szCs w:val="21"/>
          <w:highlight w:val="none"/>
        </w:rPr>
      </w:pPr>
      <w:r>
        <w:rPr>
          <w:rFonts w:hint="eastAsia" w:hAnsi="宋体" w:cs="宋体"/>
          <w:b/>
          <w:bCs/>
          <w:szCs w:val="21"/>
          <w:highlight w:val="none"/>
        </w:rPr>
        <w:t>供应商同时为小型、微型企业、监狱企业、残疾人福利性单位任两种或以上情况的，评审中只享受一次价格扣除，不重复进行价格扣除。</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节能产品、环境标志产品价格扣除</w:t>
      </w:r>
    </w:p>
    <w:p>
      <w:pPr>
        <w:numPr>
          <w:ilvl w:val="0"/>
          <w:numId w:val="13"/>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投标产品(针对非政府强制采购产品)纳入国家行业主管部门颁布的最新一期节能产品清单的，节能产品投标报价占总投标报价比例在30%或以上的，对节能产品的价格给予2%的扣除，在30%以下的，对节能产品的价格给予1%的扣除，用扣除后的价格参与评审。（提供投标产品所在清单页加盖供应商公章）。</w:t>
      </w:r>
    </w:p>
    <w:p>
      <w:pPr>
        <w:numPr>
          <w:ilvl w:val="0"/>
          <w:numId w:val="13"/>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投标产品纳入国家行业主管部门颁布的最新一期环境标志产品清单的，环境标志产品投标报价占总投标报价比例在30%或以上的，对环境标志产品的价格给予2%的扣除，在30%以下的，对节能产品的价格给予1%的扣除，用扣除后的价格参与评审。（提供投标产品所在清单页加盖供应商公章）。</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价格评分：</w:t>
      </w:r>
      <w:r>
        <w:rPr>
          <w:rFonts w:hint="eastAsia" w:ascii="宋体" w:hAnsi="宋体"/>
          <w:szCs w:val="30"/>
          <w:highlight w:val="none"/>
        </w:rPr>
        <w:t>满足磋商文件要求且报价最低的</w:t>
      </w:r>
      <w:r>
        <w:rPr>
          <w:rFonts w:hint="eastAsia" w:ascii="宋体" w:hAnsi="宋体"/>
          <w:szCs w:val="21"/>
          <w:highlight w:val="none"/>
        </w:rPr>
        <w:t>供应商</w:t>
      </w:r>
      <w:r>
        <w:rPr>
          <w:rFonts w:hint="eastAsia" w:ascii="宋体" w:hAnsi="宋体"/>
          <w:szCs w:val="30"/>
          <w:highlight w:val="none"/>
        </w:rPr>
        <w:t>的报价为磋商基准价，其价格分为满分</w:t>
      </w:r>
      <w:r>
        <w:rPr>
          <w:rFonts w:hint="eastAsia" w:ascii="宋体" w:hAnsi="宋体"/>
          <w:szCs w:val="30"/>
          <w:highlight w:val="none"/>
          <w:lang w:val="en-US" w:eastAsia="zh-CN"/>
        </w:rPr>
        <w:t>1</w:t>
      </w:r>
      <w:r>
        <w:rPr>
          <w:rFonts w:hint="eastAsia" w:ascii="宋体" w:hAnsi="宋体"/>
          <w:szCs w:val="30"/>
          <w:highlight w:val="none"/>
        </w:rPr>
        <w:t>0分。其他</w:t>
      </w:r>
      <w:r>
        <w:rPr>
          <w:rFonts w:hint="eastAsia" w:ascii="宋体" w:hAnsi="宋体"/>
          <w:szCs w:val="21"/>
          <w:highlight w:val="none"/>
        </w:rPr>
        <w:t>供应商</w:t>
      </w:r>
      <w:r>
        <w:rPr>
          <w:rFonts w:hint="eastAsia" w:ascii="宋体" w:hAnsi="宋体"/>
          <w:szCs w:val="30"/>
          <w:highlight w:val="none"/>
        </w:rPr>
        <w:t>的价格分统一按照下列公式计算：</w:t>
      </w:r>
    </w:p>
    <w:p>
      <w:pPr>
        <w:spacing w:line="460" w:lineRule="exact"/>
        <w:ind w:firstLine="1265" w:firstLineChars="600"/>
        <w:jc w:val="both"/>
        <w:rPr>
          <w:rFonts w:hAnsi="宋体"/>
          <w:highlight w:val="none"/>
        </w:rPr>
      </w:pPr>
      <w:r>
        <w:rPr>
          <w:rFonts w:hint="eastAsia" w:ascii="宋体" w:hAnsi="宋体"/>
          <w:b/>
          <w:szCs w:val="30"/>
          <w:highlight w:val="none"/>
        </w:rPr>
        <w:t>磋商报价得分（精确到小数点后2位）</w:t>
      </w:r>
      <w:r>
        <w:rPr>
          <w:rFonts w:ascii="宋体" w:hAnsi="宋体"/>
          <w:b/>
          <w:szCs w:val="30"/>
          <w:highlight w:val="none"/>
        </w:rPr>
        <w:t>=(</w:t>
      </w:r>
      <w:r>
        <w:rPr>
          <w:rFonts w:hint="eastAsia" w:ascii="宋体" w:hAnsi="宋体"/>
          <w:b/>
          <w:szCs w:val="30"/>
          <w:highlight w:val="none"/>
        </w:rPr>
        <w:t>磋商基准价／最后磋商报价</w:t>
      </w:r>
      <w:r>
        <w:rPr>
          <w:rFonts w:ascii="宋体" w:hAnsi="宋体"/>
          <w:b/>
          <w:szCs w:val="30"/>
          <w:highlight w:val="none"/>
        </w:rPr>
        <w:t>)</w:t>
      </w:r>
      <w:r>
        <w:rPr>
          <w:rFonts w:hint="eastAsia" w:ascii="宋体" w:hAnsi="宋体"/>
          <w:b/>
          <w:szCs w:val="30"/>
          <w:highlight w:val="none"/>
        </w:rPr>
        <w:t>×</w:t>
      </w:r>
      <w:r>
        <w:rPr>
          <w:rFonts w:hint="eastAsia" w:ascii="宋体" w:hAnsi="宋体"/>
          <w:b/>
          <w:szCs w:val="30"/>
          <w:highlight w:val="none"/>
          <w:lang w:val="en-US" w:eastAsia="zh-CN"/>
        </w:rPr>
        <w:t>1</w:t>
      </w:r>
      <w:r>
        <w:rPr>
          <w:rFonts w:hint="eastAsia" w:ascii="宋体" w:hAnsi="宋体"/>
          <w:b/>
          <w:szCs w:val="30"/>
          <w:highlight w:val="none"/>
        </w:rPr>
        <w:t>0</w:t>
      </w:r>
    </w:p>
    <w:tbl>
      <w:tblPr>
        <w:tblStyle w:val="41"/>
        <w:tblW w:w="825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934"/>
        <w:gridCol w:w="2662"/>
        <w:gridCol w:w="266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2934" w:type="dxa"/>
            <w:tcBorders>
              <w:top w:val="double" w:color="auto" w:sz="4" w:space="0"/>
              <w:bottom w:val="single" w:color="auto" w:sz="6" w:space="0"/>
            </w:tcBorders>
            <w:shd w:val="clear" w:color="auto" w:fill="E0E0E0"/>
            <w:vAlign w:val="center"/>
          </w:tcPr>
          <w:p>
            <w:pPr>
              <w:jc w:val="center"/>
              <w:rPr>
                <w:b/>
                <w:highlight w:val="none"/>
              </w:rPr>
            </w:pPr>
            <w:r>
              <w:rPr>
                <w:rFonts w:hint="eastAsia" w:ascii="宋体" w:hAnsi="宋体"/>
                <w:b/>
                <w:highlight w:val="none"/>
              </w:rPr>
              <w:t>评分项目</w:t>
            </w:r>
          </w:p>
        </w:tc>
        <w:tc>
          <w:tcPr>
            <w:tcW w:w="2662" w:type="dxa"/>
            <w:tcBorders>
              <w:top w:val="double" w:color="auto" w:sz="4" w:space="0"/>
              <w:bottom w:val="single" w:color="auto" w:sz="6" w:space="0"/>
            </w:tcBorders>
            <w:shd w:val="clear" w:color="auto" w:fill="E0E0E0"/>
            <w:vAlign w:val="center"/>
          </w:tcPr>
          <w:p>
            <w:pPr>
              <w:jc w:val="center"/>
              <w:rPr>
                <w:b/>
                <w:highlight w:val="none"/>
              </w:rPr>
            </w:pPr>
            <w:r>
              <w:rPr>
                <w:rFonts w:hint="eastAsia" w:ascii="宋体" w:hAnsi="宋体"/>
                <w:b/>
                <w:highlight w:val="none"/>
              </w:rPr>
              <w:t>商务技术评分</w:t>
            </w:r>
          </w:p>
        </w:tc>
        <w:tc>
          <w:tcPr>
            <w:tcW w:w="2662" w:type="dxa"/>
            <w:tcBorders>
              <w:top w:val="double" w:color="auto" w:sz="4" w:space="0"/>
              <w:bottom w:val="single" w:color="auto" w:sz="6" w:space="0"/>
            </w:tcBorders>
            <w:shd w:val="clear" w:color="auto" w:fill="E0E0E0"/>
            <w:vAlign w:val="center"/>
          </w:tcPr>
          <w:p>
            <w:pPr>
              <w:jc w:val="center"/>
              <w:rPr>
                <w:b/>
                <w:highlight w:val="none"/>
              </w:rPr>
            </w:pPr>
            <w:r>
              <w:rPr>
                <w:rFonts w:hint="eastAsia" w:ascii="宋体" w:hAnsi="宋体"/>
                <w:b/>
                <w:highlight w:val="none"/>
              </w:rPr>
              <w:t>价格评分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2934" w:type="dxa"/>
            <w:tcBorders>
              <w:top w:val="single" w:color="auto" w:sz="6" w:space="0"/>
            </w:tcBorders>
            <w:vAlign w:val="center"/>
          </w:tcPr>
          <w:p>
            <w:pPr>
              <w:jc w:val="center"/>
              <w:rPr>
                <w:b/>
                <w:highlight w:val="none"/>
              </w:rPr>
            </w:pPr>
            <w:r>
              <w:rPr>
                <w:rFonts w:hint="eastAsia" w:ascii="宋体" w:hAnsi="宋体"/>
                <w:b/>
                <w:highlight w:val="none"/>
              </w:rPr>
              <w:t>权</w:t>
            </w:r>
            <w:r>
              <w:rPr>
                <w:rFonts w:ascii="宋体" w:hAnsi="宋体"/>
                <w:b/>
                <w:highlight w:val="none"/>
              </w:rPr>
              <w:t xml:space="preserve">    </w:t>
            </w:r>
            <w:r>
              <w:rPr>
                <w:rFonts w:hint="eastAsia" w:ascii="宋体" w:hAnsi="宋体"/>
                <w:b/>
                <w:highlight w:val="none"/>
              </w:rPr>
              <w:t>重</w:t>
            </w:r>
          </w:p>
        </w:tc>
        <w:tc>
          <w:tcPr>
            <w:tcW w:w="2662" w:type="dxa"/>
            <w:tcBorders>
              <w:top w:val="single" w:color="auto" w:sz="6" w:space="0"/>
            </w:tcBorders>
            <w:vAlign w:val="center"/>
          </w:tcPr>
          <w:p>
            <w:pPr>
              <w:jc w:val="center"/>
              <w:rPr>
                <w:rFonts w:hint="eastAsia" w:eastAsia="宋体"/>
                <w:b/>
                <w:highlight w:val="none"/>
                <w:lang w:eastAsia="zh-CN"/>
              </w:rPr>
            </w:pPr>
            <w:r>
              <w:rPr>
                <w:rFonts w:hint="eastAsia" w:ascii="宋体" w:hAnsi="宋体"/>
                <w:b/>
                <w:highlight w:val="none"/>
                <w:lang w:val="en-US" w:eastAsia="zh-CN"/>
              </w:rPr>
              <w:t>9</w:t>
            </w:r>
            <w:r>
              <w:rPr>
                <w:rFonts w:hint="eastAsia" w:ascii="宋体" w:hAnsi="宋体"/>
                <w:b/>
                <w:highlight w:val="none"/>
              </w:rPr>
              <w:t>0</w:t>
            </w:r>
            <w:r>
              <w:rPr>
                <w:rFonts w:hint="eastAsia" w:ascii="宋体" w:hAnsi="宋体"/>
                <w:b/>
                <w:highlight w:val="none"/>
                <w:lang w:eastAsia="zh-CN"/>
              </w:rPr>
              <w:t>分</w:t>
            </w:r>
          </w:p>
        </w:tc>
        <w:tc>
          <w:tcPr>
            <w:tcW w:w="2662" w:type="dxa"/>
            <w:tcBorders>
              <w:top w:val="single" w:color="auto" w:sz="6" w:space="0"/>
            </w:tcBorders>
            <w:vAlign w:val="center"/>
          </w:tcPr>
          <w:p>
            <w:pPr>
              <w:jc w:val="center"/>
              <w:rPr>
                <w:rFonts w:hint="eastAsia" w:eastAsia="宋体"/>
                <w:b/>
                <w:highlight w:val="none"/>
                <w:lang w:eastAsia="zh-CN"/>
              </w:rPr>
            </w:pPr>
            <w:r>
              <w:rPr>
                <w:rFonts w:hint="eastAsia" w:ascii="宋体" w:hAnsi="宋体"/>
                <w:b/>
                <w:highlight w:val="none"/>
                <w:lang w:val="en-US" w:eastAsia="zh-CN"/>
              </w:rPr>
              <w:t>1</w:t>
            </w:r>
            <w:r>
              <w:rPr>
                <w:rFonts w:hint="eastAsia" w:ascii="宋体" w:hAnsi="宋体"/>
                <w:b/>
                <w:highlight w:val="none"/>
              </w:rPr>
              <w:t>0</w:t>
            </w:r>
            <w:r>
              <w:rPr>
                <w:rFonts w:hint="eastAsia" w:ascii="宋体" w:hAnsi="宋体"/>
                <w:b/>
                <w:highlight w:val="none"/>
                <w:lang w:eastAsia="zh-CN"/>
              </w:rPr>
              <w:t>分</w:t>
            </w:r>
          </w:p>
        </w:tc>
      </w:tr>
    </w:tbl>
    <w:p>
      <w:pPr>
        <w:rPr>
          <w:highlight w:val="none"/>
        </w:rPr>
      </w:pPr>
    </w:p>
    <w:p>
      <w:pPr>
        <w:pStyle w:val="4"/>
        <w:jc w:val="left"/>
        <w:rPr>
          <w:color w:val="auto"/>
          <w:highlight w:val="none"/>
        </w:rPr>
      </w:pPr>
      <w:r>
        <w:rPr>
          <w:rFonts w:hint="eastAsia"/>
          <w:color w:val="auto"/>
          <w:highlight w:val="none"/>
        </w:rPr>
        <w:t xml:space="preserve">     </w:t>
      </w:r>
      <w:r>
        <w:rPr>
          <w:rFonts w:hint="eastAsia" w:cs="Times New Roman"/>
          <w:color w:val="auto"/>
          <w:sz w:val="21"/>
          <w:highlight w:val="none"/>
        </w:rPr>
        <w:t xml:space="preserve">  </w:t>
      </w:r>
      <w:bookmarkStart w:id="61" w:name="_Toc20353"/>
      <w:r>
        <w:rPr>
          <w:rFonts w:hint="eastAsia" w:cs="Times New Roman"/>
          <w:color w:val="auto"/>
          <w:sz w:val="21"/>
          <w:highlight w:val="none"/>
        </w:rPr>
        <w:t>综合得分=商务技术评分+价格评分</w:t>
      </w:r>
      <w:bookmarkEnd w:id="61"/>
    </w:p>
    <w:p>
      <w:pPr>
        <w:numPr>
          <w:ilvl w:val="1"/>
          <w:numId w:val="10"/>
        </w:numPr>
        <w:spacing w:line="360" w:lineRule="auto"/>
        <w:rPr>
          <w:rFonts w:hAnsi="宋体"/>
          <w:szCs w:val="22"/>
          <w:highlight w:val="none"/>
        </w:rPr>
      </w:pPr>
      <w:r>
        <w:rPr>
          <w:rFonts w:hint="eastAsia" w:hAnsi="宋体" w:cs="宋体"/>
          <w:kern w:val="2"/>
          <w:szCs w:val="21"/>
          <w:highlight w:val="none"/>
          <w:lang w:bidi="ar"/>
        </w:rPr>
        <w:t>价格扣除相关规定：</w:t>
      </w:r>
    </w:p>
    <w:tbl>
      <w:tblPr>
        <w:tblStyle w:val="42"/>
        <w:tblW w:w="10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776"/>
        <w:gridCol w:w="1764"/>
        <w:gridCol w:w="1572"/>
        <w:gridCol w:w="4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6" w:hRule="atLeast"/>
        </w:trPr>
        <w:tc>
          <w:tcPr>
            <w:tcW w:w="722" w:type="dxa"/>
          </w:tcPr>
          <w:p>
            <w:pPr>
              <w:tabs>
                <w:tab w:val="left" w:pos="640"/>
              </w:tabs>
              <w:spacing w:line="360" w:lineRule="auto"/>
              <w:jc w:val="center"/>
              <w:rPr>
                <w:rFonts w:hAnsi="宋体" w:cs="宋体"/>
                <w:szCs w:val="21"/>
                <w:highlight w:val="none"/>
              </w:rPr>
            </w:pPr>
            <w:r>
              <w:rPr>
                <w:rFonts w:hint="eastAsia" w:hAnsi="宋体" w:cs="宋体"/>
                <w:szCs w:val="21"/>
                <w:highlight w:val="none"/>
              </w:rPr>
              <w:t>序号</w:t>
            </w:r>
          </w:p>
        </w:tc>
        <w:tc>
          <w:tcPr>
            <w:tcW w:w="1776" w:type="dxa"/>
          </w:tcPr>
          <w:p>
            <w:pPr>
              <w:tabs>
                <w:tab w:val="left" w:pos="640"/>
              </w:tabs>
              <w:spacing w:line="360" w:lineRule="auto"/>
              <w:jc w:val="center"/>
              <w:rPr>
                <w:rFonts w:hAnsi="宋体" w:cs="宋体"/>
                <w:szCs w:val="21"/>
                <w:highlight w:val="none"/>
              </w:rPr>
            </w:pPr>
            <w:r>
              <w:rPr>
                <w:rFonts w:hint="eastAsia" w:hAnsi="宋体" w:cs="宋体"/>
                <w:szCs w:val="21"/>
                <w:highlight w:val="none"/>
              </w:rPr>
              <w:t>情形</w:t>
            </w:r>
          </w:p>
        </w:tc>
        <w:tc>
          <w:tcPr>
            <w:tcW w:w="1764" w:type="dxa"/>
          </w:tcPr>
          <w:p>
            <w:pPr>
              <w:tabs>
                <w:tab w:val="left" w:pos="640"/>
              </w:tabs>
              <w:spacing w:line="360" w:lineRule="auto"/>
              <w:jc w:val="center"/>
              <w:rPr>
                <w:rFonts w:hAnsi="宋体" w:cs="宋体"/>
                <w:szCs w:val="21"/>
                <w:highlight w:val="none"/>
              </w:rPr>
            </w:pPr>
            <w:r>
              <w:rPr>
                <w:rFonts w:hint="eastAsia" w:hAnsi="宋体" w:cs="宋体"/>
                <w:szCs w:val="21"/>
                <w:highlight w:val="none"/>
              </w:rPr>
              <w:t>适用对象</w:t>
            </w:r>
          </w:p>
        </w:tc>
        <w:tc>
          <w:tcPr>
            <w:tcW w:w="1572" w:type="dxa"/>
          </w:tcPr>
          <w:p>
            <w:pPr>
              <w:tabs>
                <w:tab w:val="left" w:pos="640"/>
              </w:tabs>
              <w:spacing w:line="360" w:lineRule="auto"/>
              <w:jc w:val="center"/>
              <w:rPr>
                <w:rFonts w:hAnsi="宋体" w:cs="宋体"/>
                <w:szCs w:val="21"/>
                <w:highlight w:val="none"/>
              </w:rPr>
            </w:pPr>
            <w:r>
              <w:rPr>
                <w:rFonts w:hint="eastAsia" w:hAnsi="宋体" w:cs="宋体"/>
                <w:szCs w:val="21"/>
                <w:highlight w:val="none"/>
              </w:rPr>
              <w:t>价格扣除比例</w:t>
            </w:r>
          </w:p>
        </w:tc>
        <w:tc>
          <w:tcPr>
            <w:tcW w:w="4620" w:type="dxa"/>
          </w:tcPr>
          <w:p>
            <w:pPr>
              <w:tabs>
                <w:tab w:val="left" w:pos="640"/>
              </w:tabs>
              <w:spacing w:line="360" w:lineRule="auto"/>
              <w:jc w:val="center"/>
              <w:rPr>
                <w:rFonts w:hAnsi="宋体" w:cs="宋体"/>
                <w:szCs w:val="21"/>
                <w:highlight w:val="none"/>
              </w:rPr>
            </w:pPr>
            <w:r>
              <w:rPr>
                <w:rFonts w:hint="eastAsia" w:hAnsi="宋体" w:cs="宋体"/>
                <w:szCs w:val="21"/>
                <w:highlight w:val="none"/>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tabs>
                <w:tab w:val="left" w:pos="640"/>
              </w:tabs>
              <w:spacing w:line="360" w:lineRule="auto"/>
              <w:rPr>
                <w:highlight w:val="none"/>
              </w:rPr>
            </w:pPr>
            <w:r>
              <w:rPr>
                <w:rFonts w:hint="eastAsia"/>
                <w:highlight w:val="none"/>
              </w:rPr>
              <w:t>1</w:t>
            </w:r>
          </w:p>
        </w:tc>
        <w:tc>
          <w:tcPr>
            <w:tcW w:w="1776" w:type="dxa"/>
          </w:tcPr>
          <w:p>
            <w:pPr>
              <w:tabs>
                <w:tab w:val="left" w:pos="640"/>
              </w:tabs>
              <w:spacing w:line="360" w:lineRule="auto"/>
              <w:rPr>
                <w:rFonts w:hAnsi="宋体" w:cs="宋体"/>
                <w:szCs w:val="21"/>
                <w:highlight w:val="none"/>
              </w:rPr>
            </w:pPr>
            <w:r>
              <w:rPr>
                <w:rFonts w:hint="eastAsia" w:hAnsi="宋体" w:cs="宋体"/>
                <w:szCs w:val="21"/>
                <w:highlight w:val="none"/>
              </w:rPr>
              <w:t>小型、微型企业，监狱企业，残疾人福利性单位</w:t>
            </w:r>
          </w:p>
        </w:tc>
        <w:tc>
          <w:tcPr>
            <w:tcW w:w="1764" w:type="dxa"/>
          </w:tcPr>
          <w:p>
            <w:pPr>
              <w:tabs>
                <w:tab w:val="left" w:pos="640"/>
              </w:tabs>
              <w:spacing w:line="360" w:lineRule="auto"/>
              <w:rPr>
                <w:rFonts w:hAnsi="宋体" w:cs="宋体"/>
                <w:szCs w:val="21"/>
                <w:highlight w:val="none"/>
              </w:rPr>
            </w:pPr>
            <w:r>
              <w:rPr>
                <w:rFonts w:hint="eastAsia" w:hAnsi="宋体" w:cs="宋体"/>
                <w:szCs w:val="21"/>
                <w:highlight w:val="none"/>
              </w:rPr>
              <w:t>在工程采购项目中，工程由中小企业承建，即工程施工单位为中小企业</w:t>
            </w:r>
          </w:p>
        </w:tc>
        <w:tc>
          <w:tcPr>
            <w:tcW w:w="1572" w:type="dxa"/>
          </w:tcPr>
          <w:p>
            <w:pPr>
              <w:tabs>
                <w:tab w:val="left" w:pos="640"/>
              </w:tabs>
              <w:spacing w:line="360" w:lineRule="auto"/>
              <w:ind w:firstLine="630" w:firstLineChars="300"/>
              <w:rPr>
                <w:rFonts w:hAnsi="宋体" w:cs="宋体"/>
                <w:szCs w:val="21"/>
                <w:highlight w:val="none"/>
              </w:rPr>
            </w:pPr>
          </w:p>
          <w:p>
            <w:pPr>
              <w:tabs>
                <w:tab w:val="left" w:pos="640"/>
              </w:tabs>
              <w:spacing w:line="360" w:lineRule="auto"/>
              <w:ind w:firstLine="630" w:firstLineChars="300"/>
              <w:rPr>
                <w:rFonts w:hAnsi="宋体" w:cs="宋体"/>
                <w:szCs w:val="21"/>
                <w:highlight w:val="none"/>
              </w:rPr>
            </w:pPr>
          </w:p>
          <w:p>
            <w:pPr>
              <w:tabs>
                <w:tab w:val="left" w:pos="640"/>
              </w:tabs>
              <w:spacing w:line="360" w:lineRule="auto"/>
              <w:ind w:firstLine="630" w:firstLineChars="300"/>
              <w:rPr>
                <w:rFonts w:hAnsi="宋体" w:cs="宋体"/>
                <w:szCs w:val="21"/>
                <w:highlight w:val="none"/>
              </w:rPr>
            </w:pPr>
          </w:p>
          <w:p>
            <w:pPr>
              <w:tabs>
                <w:tab w:val="left" w:pos="640"/>
              </w:tabs>
              <w:spacing w:line="360" w:lineRule="auto"/>
              <w:jc w:val="center"/>
              <w:rPr>
                <w:rFonts w:hAnsi="宋体" w:cs="宋体"/>
                <w:szCs w:val="21"/>
                <w:highlight w:val="none"/>
              </w:rPr>
            </w:pPr>
            <w:r>
              <w:rPr>
                <w:rFonts w:hint="eastAsia" w:hAnsi="宋体" w:cs="宋体"/>
                <w:szCs w:val="21"/>
                <w:highlight w:val="none"/>
                <w:lang w:val="en-US" w:eastAsia="zh-CN"/>
              </w:rPr>
              <w:t>5</w:t>
            </w:r>
            <w:r>
              <w:rPr>
                <w:rFonts w:hint="eastAsia" w:hAnsi="宋体" w:cs="宋体"/>
                <w:szCs w:val="21"/>
                <w:highlight w:val="none"/>
              </w:rPr>
              <w:t>%</w:t>
            </w:r>
          </w:p>
        </w:tc>
        <w:tc>
          <w:tcPr>
            <w:tcW w:w="4620" w:type="dxa"/>
          </w:tcPr>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承接本项目的投标人或联合体成员均为小型、微型企业时，给予C1的价格扣除（C1为扣除比例），即：评标价格=核实后的投标总价×（1-C1）；监狱企业与残疾人福利性单位视同小型、微型企业，享受同等价格扣除，当企业属性重复时，不重复价格扣除</w:t>
            </w:r>
          </w:p>
        </w:tc>
      </w:tr>
    </w:tbl>
    <w:p>
      <w:pPr>
        <w:spacing w:line="360" w:lineRule="auto"/>
        <w:rPr>
          <w:rFonts w:hAnsi="宋体" w:cs="宋体"/>
          <w:kern w:val="2"/>
          <w:szCs w:val="21"/>
          <w:highlight w:val="none"/>
          <w:lang w:bidi="ar"/>
        </w:rPr>
      </w:pPr>
    </w:p>
    <w:p>
      <w:pPr>
        <w:spacing w:line="360" w:lineRule="auto"/>
        <w:rPr>
          <w:rFonts w:hAnsi="宋体" w:cs="宋体"/>
          <w:kern w:val="2"/>
          <w:szCs w:val="21"/>
          <w:highlight w:val="none"/>
          <w:lang w:bidi="ar"/>
        </w:rPr>
      </w:pPr>
    </w:p>
    <w:p>
      <w:pPr>
        <w:spacing w:line="360" w:lineRule="auto"/>
        <w:rPr>
          <w:rFonts w:hAnsi="宋体" w:cs="宋体"/>
          <w:kern w:val="2"/>
          <w:szCs w:val="21"/>
          <w:highlight w:val="none"/>
          <w:lang w:bidi="ar"/>
        </w:rPr>
      </w:pPr>
    </w:p>
    <w:p>
      <w:pPr>
        <w:spacing w:line="360" w:lineRule="auto"/>
        <w:rPr>
          <w:rFonts w:hAnsi="宋体" w:cs="宋体"/>
          <w:kern w:val="2"/>
          <w:szCs w:val="21"/>
          <w:highlight w:val="none"/>
          <w:lang w:bidi="ar"/>
        </w:rPr>
      </w:pPr>
    </w:p>
    <w:p>
      <w:pPr>
        <w:pStyle w:val="2"/>
        <w:rPr>
          <w:highlight w:val="none"/>
        </w:rPr>
      </w:pPr>
    </w:p>
    <w:p>
      <w:pPr>
        <w:numPr>
          <w:ilvl w:val="0"/>
          <w:numId w:val="3"/>
        </w:numPr>
        <w:spacing w:line="460" w:lineRule="exact"/>
        <w:rPr>
          <w:rFonts w:hAnsi="宋体"/>
          <w:b/>
          <w:sz w:val="24"/>
          <w:highlight w:val="none"/>
        </w:rPr>
      </w:pPr>
      <w:r>
        <w:rPr>
          <w:rFonts w:hint="eastAsia" w:hAnsi="宋体"/>
          <w:b/>
          <w:sz w:val="24"/>
          <w:highlight w:val="none"/>
        </w:rPr>
        <w:t xml:space="preserve">确定中标（成交）供应商    </w:t>
      </w:r>
    </w:p>
    <w:p>
      <w:pPr>
        <w:numPr>
          <w:ilvl w:val="1"/>
          <w:numId w:val="3"/>
        </w:numPr>
        <w:tabs>
          <w:tab w:val="left" w:pos="0"/>
          <w:tab w:val="left" w:pos="851"/>
        </w:tabs>
        <w:spacing w:line="460" w:lineRule="atLeast"/>
        <w:ind w:left="851" w:hanging="851"/>
        <w:jc w:val="both"/>
        <w:rPr>
          <w:rFonts w:hAnsi="宋体"/>
          <w:highlight w:val="none"/>
        </w:rPr>
      </w:pPr>
      <w:r>
        <w:rPr>
          <w:rFonts w:hint="eastAsia" w:hAnsi="宋体"/>
          <w:highlight w:val="none"/>
        </w:rPr>
        <w:t>磋商小组应当根据综合评分情况，按照评审得分由高到低顺序推荐3名中标（成交）候选</w:t>
      </w:r>
      <w:r>
        <w:rPr>
          <w:rFonts w:hint="eastAsia" w:ascii="宋体" w:hAnsi="宋体"/>
          <w:highlight w:val="none"/>
        </w:rPr>
        <w:t>供应商</w:t>
      </w:r>
      <w:r>
        <w:rPr>
          <w:rFonts w:hint="eastAsia" w:hAnsi="宋体"/>
          <w:highlight w:val="none"/>
        </w:rPr>
        <w:t xml:space="preserve">，并编写评审报告（评审得分相同的，按照最后报价由低到高顺序推荐；评审得分且最后报价相同的，按技术方案优劣顺序排列推荐）。 </w:t>
      </w:r>
    </w:p>
    <w:p>
      <w:pPr>
        <w:numPr>
          <w:ilvl w:val="1"/>
          <w:numId w:val="3"/>
        </w:numPr>
        <w:tabs>
          <w:tab w:val="left" w:pos="0"/>
          <w:tab w:val="left" w:pos="851"/>
        </w:tabs>
        <w:spacing w:line="460" w:lineRule="atLeast"/>
        <w:ind w:left="851" w:hanging="851"/>
        <w:jc w:val="both"/>
        <w:rPr>
          <w:highlight w:val="none"/>
        </w:rPr>
      </w:pPr>
      <w:r>
        <w:rPr>
          <w:rFonts w:hint="eastAsia" w:ascii="宋体" w:hAnsi="宋体"/>
          <w:highlight w:val="none"/>
        </w:rPr>
        <w:t>在评审过程中，磋商小组发现供应商的报价明显低于其他供应商的报价或者在设有标底时明显低于标底，使得其报价可能低于其个别成本的，磋商小组有权要求该供应商作出书面说明并提供相关证明材料，供应商不能合理说明或者不能提供相关证明材料的，由磋商小组认定该供应商以低于成本报价竞标，对被认定为低于成本报价竞标的供应商以无效报价处理。</w:t>
      </w:r>
    </w:p>
    <w:p>
      <w:pPr>
        <w:numPr>
          <w:ilvl w:val="1"/>
          <w:numId w:val="3"/>
        </w:numPr>
        <w:tabs>
          <w:tab w:val="left" w:pos="0"/>
          <w:tab w:val="left" w:pos="851"/>
        </w:tabs>
        <w:spacing w:line="460" w:lineRule="atLeast"/>
        <w:ind w:left="851" w:hanging="851"/>
        <w:jc w:val="both"/>
        <w:rPr>
          <w:highlight w:val="none"/>
        </w:rPr>
      </w:pPr>
      <w:r>
        <w:rPr>
          <w:rFonts w:hint="eastAsia" w:ascii="宋体" w:hAnsi="宋体"/>
          <w:szCs w:val="21"/>
          <w:highlight w:val="none"/>
        </w:rPr>
        <w:t>供应商</w:t>
      </w:r>
      <w:r>
        <w:rPr>
          <w:rFonts w:hint="eastAsia"/>
          <w:highlight w:val="none"/>
        </w:rPr>
        <w:t>有下列情况之一，其报价将会被视为无效报价：</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highlight w:val="none"/>
        </w:rPr>
        <w:t>供应商</w:t>
      </w:r>
      <w:r>
        <w:rPr>
          <w:rFonts w:hint="eastAsia" w:hAnsi="宋体"/>
          <w:szCs w:val="21"/>
          <w:highlight w:val="none"/>
        </w:rPr>
        <w:t>不符合合格</w:t>
      </w:r>
      <w:r>
        <w:rPr>
          <w:rFonts w:hint="eastAsia" w:hAnsi="宋体"/>
          <w:highlight w:val="none"/>
        </w:rPr>
        <w:t>供应商</w:t>
      </w:r>
      <w:r>
        <w:rPr>
          <w:rFonts w:hint="eastAsia" w:hAnsi="宋体"/>
          <w:szCs w:val="21"/>
          <w:highlight w:val="none"/>
        </w:rPr>
        <w:t>的基本条件；</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报价有效期不足的；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报价文件主要资料不齐全或签署不合格的；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报价资料虚报或者谎报的；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bCs/>
          <w:szCs w:val="21"/>
          <w:highlight w:val="none"/>
        </w:rPr>
        <w:t>重要响应指标满足要求</w:t>
      </w:r>
      <w:r>
        <w:rPr>
          <w:rFonts w:hint="eastAsia" w:hAnsi="宋体"/>
          <w:szCs w:val="21"/>
          <w:highlight w:val="none"/>
        </w:rPr>
        <w:t>满足用户技术规格书中要求的以及有重大偏离或保留的；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投标报价高于或者绿色施工安全防护措施费低于采购文件规定限价的；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不接受磋商小组修正的报价总价的；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磋商中发现</w:t>
      </w:r>
      <w:r>
        <w:rPr>
          <w:rFonts w:hint="eastAsia" w:hAnsi="宋体"/>
          <w:highlight w:val="none"/>
        </w:rPr>
        <w:t>供应商</w:t>
      </w:r>
      <w:r>
        <w:rPr>
          <w:rFonts w:hint="eastAsia" w:hAnsi="宋体"/>
          <w:szCs w:val="21"/>
          <w:highlight w:val="none"/>
        </w:rPr>
        <w:t>的报价文件资料不齐和欠缺时，准许其在规定时间（由现场评委共同确定）内补足相应资料。如不能补足，该报价将会由于不符合磋商的基本要求而被拒绝；</w:t>
      </w:r>
    </w:p>
    <w:p>
      <w:pPr>
        <w:pStyle w:val="23"/>
        <w:numPr>
          <w:ilvl w:val="7"/>
          <w:numId w:val="14"/>
        </w:numPr>
        <w:tabs>
          <w:tab w:val="clear" w:pos="3780"/>
        </w:tabs>
        <w:spacing w:line="460" w:lineRule="exact"/>
        <w:ind w:left="1378" w:hanging="318"/>
        <w:rPr>
          <w:rFonts w:hAnsi="宋体"/>
          <w:bCs/>
          <w:szCs w:val="21"/>
          <w:highlight w:val="none"/>
        </w:rPr>
      </w:pPr>
      <w:r>
        <w:rPr>
          <w:rFonts w:hint="eastAsia" w:hAnsi="宋体"/>
          <w:bCs/>
          <w:szCs w:val="21"/>
          <w:highlight w:val="none"/>
        </w:rPr>
        <w:t>如磋商文件、响应文件没有重大修改，</w:t>
      </w:r>
      <w:r>
        <w:rPr>
          <w:rFonts w:hint="eastAsia" w:hAnsi="宋体"/>
          <w:bCs/>
          <w:highlight w:val="none"/>
        </w:rPr>
        <w:t>供应商</w:t>
      </w:r>
      <w:r>
        <w:rPr>
          <w:rFonts w:hint="eastAsia" w:hAnsi="宋体"/>
          <w:bCs/>
          <w:szCs w:val="21"/>
          <w:highlight w:val="none"/>
        </w:rPr>
        <w:t>最终报价不允许比此前报价高，否则视为非实质性响应磋商文件的要求。</w:t>
      </w:r>
    </w:p>
    <w:p>
      <w:pPr>
        <w:pStyle w:val="23"/>
        <w:spacing w:line="460" w:lineRule="exact"/>
        <w:ind w:left="1060"/>
        <w:rPr>
          <w:rFonts w:hAnsi="宋体"/>
          <w:b/>
          <w:szCs w:val="21"/>
          <w:highlight w:val="none"/>
        </w:rPr>
      </w:pPr>
    </w:p>
    <w:p>
      <w:pPr>
        <w:numPr>
          <w:ilvl w:val="0"/>
          <w:numId w:val="3"/>
        </w:numPr>
        <w:spacing w:line="460" w:lineRule="exact"/>
        <w:rPr>
          <w:rFonts w:ascii="宋体" w:hAnsi="宋体"/>
          <w:b/>
          <w:sz w:val="24"/>
          <w:highlight w:val="none"/>
        </w:rPr>
      </w:pPr>
      <w:r>
        <w:rPr>
          <w:rFonts w:hint="eastAsia" w:ascii="宋体" w:hAnsi="宋体"/>
          <w:b/>
          <w:sz w:val="24"/>
          <w:highlight w:val="none"/>
        </w:rPr>
        <w:t>响应文件的修正和澄清</w:t>
      </w:r>
    </w:p>
    <w:p>
      <w:pPr>
        <w:numPr>
          <w:ilvl w:val="1"/>
          <w:numId w:val="3"/>
        </w:numPr>
        <w:tabs>
          <w:tab w:val="left" w:pos="848"/>
        </w:tabs>
        <w:spacing w:line="460" w:lineRule="exact"/>
        <w:ind w:left="848" w:hanging="848"/>
        <w:jc w:val="both"/>
        <w:rPr>
          <w:rFonts w:ascii="宋体" w:hAnsi="宋体"/>
          <w:highlight w:val="none"/>
        </w:rPr>
      </w:pPr>
      <w:r>
        <w:rPr>
          <w:rFonts w:hint="eastAsia" w:ascii="宋体" w:hAnsi="宋体"/>
          <w:highlight w:val="none"/>
        </w:rPr>
        <w:t>为有助于对响应文件的审核、评价和比较，磋商小组可分别要求供应商对其响应文件进行澄清，有关澄清的要求和答复先以口头形式进行，以最终澄清方案、报价及有关承诺等书面形式确认。</w:t>
      </w:r>
    </w:p>
    <w:p>
      <w:pPr>
        <w:numPr>
          <w:ilvl w:val="1"/>
          <w:numId w:val="3"/>
        </w:numPr>
        <w:tabs>
          <w:tab w:val="left" w:pos="848"/>
        </w:tabs>
        <w:spacing w:line="460" w:lineRule="exact"/>
        <w:ind w:left="848" w:hanging="848"/>
        <w:jc w:val="both"/>
        <w:rPr>
          <w:rFonts w:ascii="宋体" w:hAnsi="宋体"/>
          <w:highlight w:val="none"/>
        </w:rPr>
      </w:pPr>
      <w:r>
        <w:rPr>
          <w:rFonts w:hint="eastAsia"/>
          <w:highlight w:val="none"/>
        </w:rPr>
        <w:t>磋商小组根据资格审查需要，可以要求</w:t>
      </w:r>
      <w:r>
        <w:rPr>
          <w:rFonts w:hint="eastAsia" w:ascii="宋体" w:hAnsi="宋体"/>
          <w:highlight w:val="none"/>
        </w:rPr>
        <w:t>供应商</w:t>
      </w:r>
      <w:r>
        <w:rPr>
          <w:rFonts w:hint="eastAsia"/>
          <w:highlight w:val="none"/>
        </w:rPr>
        <w:t>对提供的符合性评审资料进行澄清和说明，或对符合性评审资料复印资料提供原件查验核对，</w:t>
      </w:r>
      <w:r>
        <w:rPr>
          <w:rFonts w:hint="eastAsia" w:ascii="宋体" w:hAnsi="宋体"/>
          <w:highlight w:val="none"/>
        </w:rPr>
        <w:t>供应商</w:t>
      </w:r>
      <w:r>
        <w:rPr>
          <w:rFonts w:hint="eastAsia"/>
          <w:highlight w:val="none"/>
        </w:rPr>
        <w:t>应当按照磋商小组的要求以书面方式作出澄清、说明或提供相关资料原件核查。</w:t>
      </w:r>
      <w:r>
        <w:rPr>
          <w:rFonts w:hint="eastAsia" w:ascii="宋体" w:hAnsi="宋体"/>
          <w:highlight w:val="none"/>
        </w:rPr>
        <w:t>供应商</w:t>
      </w:r>
      <w:r>
        <w:rPr>
          <w:rFonts w:hint="eastAsia"/>
          <w:highlight w:val="none"/>
        </w:rPr>
        <w:t>不予澄清说明或没有提供原件核查的，其符合性审查不予通过，响应文件作无效报价处理。</w:t>
      </w:r>
    </w:p>
    <w:p>
      <w:pPr>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中标（成交）</w:t>
      </w:r>
      <w:r>
        <w:rPr>
          <w:rFonts w:hint="eastAsia" w:ascii="宋体" w:hAnsi="宋体"/>
          <w:b/>
          <w:bCs/>
          <w:highlight w:val="none"/>
        </w:rPr>
        <w:t>供应商</w:t>
      </w:r>
      <w:r>
        <w:rPr>
          <w:rFonts w:hint="eastAsia" w:ascii="宋体" w:hAnsi="宋体"/>
          <w:b/>
          <w:sz w:val="24"/>
          <w:highlight w:val="none"/>
        </w:rPr>
        <w:t>的确定</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bCs/>
          <w:highlight w:val="none"/>
        </w:rPr>
        <w:t>采购人从</w:t>
      </w:r>
      <w:r>
        <w:rPr>
          <w:rFonts w:hint="eastAsia" w:ascii="宋体" w:hAnsi="宋体"/>
          <w:highlight w:val="none"/>
        </w:rPr>
        <w:t>磋商小组推荐的中标（成交）候选人中</w:t>
      </w:r>
      <w:r>
        <w:rPr>
          <w:rFonts w:hint="eastAsia" w:ascii="宋体" w:hAnsi="宋体"/>
          <w:bCs/>
          <w:highlight w:val="none"/>
        </w:rPr>
        <w:t>依法</w:t>
      </w:r>
      <w:r>
        <w:rPr>
          <w:rFonts w:hint="eastAsia" w:ascii="宋体" w:hAnsi="宋体"/>
          <w:highlight w:val="none"/>
        </w:rPr>
        <w:t>确定中标（成交）供应商。</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如果中标（成交）供应商不能按照磋商采购文件要求及响应文件的承诺签订合同或中标（成交）供应商的响应文件与事实不符，采购人可以取消该中标（成交）供应商的资格并将合同授予另一中标（成交）候选人，或者依法重新采购及采取其它采购方式。采购人对受影响的供应商不承担任何责任。</w:t>
      </w:r>
    </w:p>
    <w:p>
      <w:pPr>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中标（成交）结果公告</w:t>
      </w:r>
    </w:p>
    <w:p>
      <w:pPr>
        <w:tabs>
          <w:tab w:val="left" w:pos="851"/>
        </w:tabs>
        <w:spacing w:line="460" w:lineRule="exact"/>
        <w:ind w:firstLine="630" w:firstLineChars="300"/>
        <w:jc w:val="both"/>
        <w:rPr>
          <w:rFonts w:ascii="宋体" w:hAnsi="宋体"/>
          <w:highlight w:val="none"/>
        </w:rPr>
      </w:pPr>
      <w:r>
        <w:rPr>
          <w:rFonts w:hint="eastAsia" w:ascii="宋体" w:hAnsi="宋体"/>
          <w:highlight w:val="none"/>
        </w:rPr>
        <w:t>采购代理机构将在</w:t>
      </w:r>
      <w:r>
        <w:rPr>
          <w:rFonts w:hint="eastAsia" w:ascii="宋体"/>
          <w:highlight w:val="none"/>
        </w:rPr>
        <w:t>采购与招标网（https://www.chinabidding.cn/zbxx/）</w:t>
      </w:r>
      <w:r>
        <w:rPr>
          <w:rFonts w:hint="eastAsia" w:ascii="宋体" w:hAnsi="宋体"/>
          <w:highlight w:val="none"/>
        </w:rPr>
        <w:t>、</w:t>
      </w:r>
      <w:r>
        <w:rPr>
          <w:rFonts w:hint="eastAsia" w:ascii="宋体" w:hAnsi="宋体"/>
          <w:highlight w:val="none"/>
          <w:lang w:eastAsia="zh-CN"/>
        </w:rPr>
        <w:t>中山行远项目管理有限公司</w:t>
      </w:r>
      <w:r>
        <w:rPr>
          <w:rFonts w:hint="eastAsia" w:ascii="宋体" w:hAnsi="宋体"/>
          <w:highlight w:val="none"/>
        </w:rPr>
        <w:t>网（https://222967.booen.co/index.php）</w:t>
      </w:r>
      <w:r>
        <w:rPr>
          <w:rFonts w:hint="eastAsia" w:ascii="宋体" w:hAnsi="宋体"/>
          <w:highlight w:val="none"/>
          <w:lang w:eastAsia="zh-CN"/>
        </w:rPr>
        <w:t>、中山市农村集体“三资”管理服务平台（http://www.zsszpt.cn/）</w:t>
      </w:r>
      <w:r>
        <w:rPr>
          <w:rFonts w:hint="eastAsia" w:ascii="宋体" w:hAnsi="宋体"/>
          <w:highlight w:val="none"/>
        </w:rPr>
        <w:t>等相关媒体上公告中标（成交）结果。</w:t>
      </w:r>
    </w:p>
    <w:p>
      <w:pPr>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质疑</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供应商认为磋商过程或评审结果使自己的合法权益受到损害的，可以在知道或者应知其权益受到损害之日起7个工作日内，以书面形式向采购人或采购代理机构提出质疑，但需对质疑或投诉内容的真实性承担责任。采购人或采购代理机构应在收到供应商书面质疑后7个工作日内，对质疑内容作出答复。</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供应商提出质疑时应当提交《质疑书》并署名（加盖公章）。《质疑书》应当包括下列主要内容：</w:t>
      </w:r>
    </w:p>
    <w:p>
      <w:pPr>
        <w:numPr>
          <w:ilvl w:val="0"/>
          <w:numId w:val="15"/>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质疑人的名称、地址、电话等；</w:t>
      </w:r>
    </w:p>
    <w:p>
      <w:pPr>
        <w:numPr>
          <w:ilvl w:val="0"/>
          <w:numId w:val="15"/>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所质疑的采购项目，具体的质疑事项及事实依据（包括证据资料）；</w:t>
      </w:r>
    </w:p>
    <w:p>
      <w:pPr>
        <w:numPr>
          <w:ilvl w:val="0"/>
          <w:numId w:val="15"/>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提起质疑的日期。</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质疑人进行质疑应当符合下列条件：</w:t>
      </w:r>
    </w:p>
    <w:p>
      <w:pPr>
        <w:numPr>
          <w:ilvl w:val="0"/>
          <w:numId w:val="16"/>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质疑人是参与所质疑采购项目的</w:t>
      </w:r>
      <w:r>
        <w:rPr>
          <w:rFonts w:hint="eastAsia" w:ascii="宋体" w:hAnsi="宋体"/>
          <w:szCs w:val="21"/>
          <w:highlight w:val="none"/>
        </w:rPr>
        <w:t>供应商</w:t>
      </w:r>
      <w:r>
        <w:rPr>
          <w:rFonts w:hint="eastAsia" w:ascii="宋体" w:hAnsi="宋体"/>
          <w:highlight w:val="none"/>
        </w:rPr>
        <w:t>；</w:t>
      </w:r>
    </w:p>
    <w:p>
      <w:pPr>
        <w:numPr>
          <w:ilvl w:val="0"/>
          <w:numId w:val="16"/>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在质疑有效期内提起质疑；</w:t>
      </w:r>
    </w:p>
    <w:p>
      <w:pPr>
        <w:numPr>
          <w:ilvl w:val="0"/>
          <w:numId w:val="16"/>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法律法规规定的其他条件。</w:t>
      </w:r>
    </w:p>
    <w:p>
      <w:pPr>
        <w:spacing w:line="460" w:lineRule="exact"/>
        <w:ind w:firstLine="900"/>
        <w:rPr>
          <w:rFonts w:hint="eastAsia" w:ascii="宋体" w:hAnsi="宋体" w:eastAsia="宋体"/>
          <w:highlight w:val="none"/>
          <w:lang w:eastAsia="zh-CN"/>
        </w:rPr>
      </w:pPr>
      <w:r>
        <w:rPr>
          <w:rFonts w:hint="eastAsia" w:ascii="宋体" w:hAnsi="宋体"/>
          <w:highlight w:val="none"/>
        </w:rPr>
        <w:t>采购代理机构：</w:t>
      </w:r>
      <w:r>
        <w:rPr>
          <w:rFonts w:hint="eastAsia" w:ascii="宋体" w:hAnsi="宋体" w:cs="宋体"/>
          <w:highlight w:val="none"/>
          <w:lang w:eastAsia="zh-CN"/>
        </w:rPr>
        <w:t>中山行远项目管理有限公司</w:t>
      </w:r>
    </w:p>
    <w:p>
      <w:pPr>
        <w:spacing w:line="460" w:lineRule="exact"/>
        <w:ind w:left="697" w:leftChars="332" w:firstLine="210" w:firstLineChars="100"/>
        <w:jc w:val="both"/>
        <w:rPr>
          <w:rFonts w:hint="eastAsia" w:ascii="宋体" w:hAnsi="宋体" w:eastAsia="宋体"/>
          <w:highlight w:val="none"/>
          <w:lang w:eastAsia="zh-CN"/>
        </w:rPr>
      </w:pPr>
      <w:r>
        <w:rPr>
          <w:rFonts w:hint="eastAsia" w:ascii="宋体" w:hAnsi="宋体" w:cs="宋体"/>
          <w:highlight w:val="none"/>
        </w:rPr>
        <w:t>公司</w:t>
      </w:r>
      <w:r>
        <w:rPr>
          <w:rFonts w:hint="eastAsia" w:ascii="宋体" w:hAnsi="宋体"/>
          <w:highlight w:val="none"/>
        </w:rPr>
        <w:t>地址</w:t>
      </w:r>
      <w:r>
        <w:rPr>
          <w:rFonts w:ascii="宋体" w:hAnsi="宋体"/>
          <w:highlight w:val="none"/>
        </w:rPr>
        <w:t xml:space="preserve">: </w:t>
      </w:r>
      <w:r>
        <w:rPr>
          <w:rFonts w:hint="eastAsia"/>
          <w:szCs w:val="21"/>
          <w:highlight w:val="none"/>
          <w:lang w:eastAsia="zh-CN"/>
        </w:rPr>
        <w:t>中山市南朗翠亨新区和信路18号翠亨大厦A栋13层</w:t>
      </w:r>
    </w:p>
    <w:p>
      <w:pPr>
        <w:spacing w:line="460" w:lineRule="exact"/>
        <w:ind w:left="697" w:leftChars="332" w:firstLine="210" w:firstLineChars="100"/>
        <w:jc w:val="both"/>
        <w:rPr>
          <w:rFonts w:ascii="宋体" w:hAnsi="宋体"/>
          <w:highlight w:val="none"/>
        </w:rPr>
      </w:pPr>
      <w:r>
        <w:rPr>
          <w:rFonts w:hint="eastAsia" w:ascii="宋体" w:hAnsi="宋体"/>
          <w:highlight w:val="none"/>
        </w:rPr>
        <w:t>邮    编：528400</w:t>
      </w:r>
    </w:p>
    <w:p>
      <w:pPr>
        <w:spacing w:line="460" w:lineRule="exact"/>
        <w:ind w:left="697" w:leftChars="332" w:firstLine="210" w:firstLineChars="100"/>
        <w:jc w:val="both"/>
        <w:rPr>
          <w:rFonts w:hint="eastAsia" w:ascii="宋体" w:hAnsi="宋体" w:eastAsia="宋体"/>
          <w:highlight w:val="none"/>
          <w:lang w:eastAsia="zh-CN"/>
        </w:rPr>
      </w:pPr>
      <w:r>
        <w:rPr>
          <w:rFonts w:hint="eastAsia" w:ascii="宋体" w:hAnsi="宋体"/>
          <w:highlight w:val="none"/>
        </w:rPr>
        <w:t>电    话：</w:t>
      </w:r>
      <w:r>
        <w:rPr>
          <w:rFonts w:hint="eastAsia" w:ascii="宋体" w:hAnsi="宋体"/>
          <w:highlight w:val="none"/>
          <w:lang w:val="en-US" w:eastAsia="zh-CN"/>
        </w:rPr>
        <w:t>15507658017</w:t>
      </w:r>
      <w:r>
        <w:rPr>
          <w:rFonts w:hint="eastAsia" w:ascii="宋体" w:hAnsi="宋体"/>
          <w:highlight w:val="none"/>
        </w:rPr>
        <w:t xml:space="preserve">         传    真：</w:t>
      </w:r>
      <w:r>
        <w:rPr>
          <w:rFonts w:hint="eastAsia" w:ascii="宋体" w:hAnsi="宋体"/>
          <w:highlight w:val="none"/>
          <w:lang w:val="en-US" w:eastAsia="zh-CN"/>
        </w:rPr>
        <w:t>/</w:t>
      </w:r>
    </w:p>
    <w:p>
      <w:pPr>
        <w:spacing w:line="460" w:lineRule="exact"/>
        <w:ind w:left="697" w:leftChars="332" w:firstLine="210" w:firstLineChars="100"/>
        <w:jc w:val="both"/>
        <w:rPr>
          <w:rFonts w:ascii="宋体" w:hAnsi="宋体"/>
          <w:highlight w:val="none"/>
        </w:rPr>
      </w:pPr>
      <w:r>
        <w:rPr>
          <w:rFonts w:hint="eastAsia" w:ascii="宋体" w:hAnsi="宋体"/>
          <w:highlight w:val="none"/>
        </w:rPr>
        <w:t>联 系 人：陈先生</w:t>
      </w:r>
    </w:p>
    <w:p>
      <w:pPr>
        <w:spacing w:line="460" w:lineRule="exact"/>
        <w:ind w:left="697" w:leftChars="332" w:firstLine="210" w:firstLineChars="100"/>
        <w:jc w:val="both"/>
        <w:rPr>
          <w:rFonts w:ascii="宋体" w:hAnsi="宋体"/>
          <w:highlight w:val="none"/>
        </w:rPr>
      </w:pPr>
    </w:p>
    <w:p>
      <w:pPr>
        <w:numPr>
          <w:ilvl w:val="0"/>
          <w:numId w:val="3"/>
        </w:numPr>
        <w:spacing w:line="460" w:lineRule="exact"/>
        <w:jc w:val="both"/>
        <w:rPr>
          <w:rFonts w:ascii="宋体"/>
          <w:b/>
          <w:sz w:val="24"/>
          <w:highlight w:val="none"/>
        </w:rPr>
      </w:pPr>
      <w:r>
        <w:rPr>
          <w:rFonts w:hint="eastAsia" w:ascii="宋体"/>
          <w:b/>
          <w:sz w:val="24"/>
          <w:highlight w:val="none"/>
        </w:rPr>
        <w:t>投诉</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对采购人或采购代理机构的答复不满意或他们未在规定时间内给予答复的，提出质疑的</w:t>
      </w:r>
      <w:r>
        <w:rPr>
          <w:rFonts w:hint="eastAsia" w:ascii="宋体" w:hAnsi="宋体"/>
          <w:szCs w:val="21"/>
          <w:highlight w:val="none"/>
        </w:rPr>
        <w:t>供应商</w:t>
      </w:r>
      <w:r>
        <w:rPr>
          <w:rFonts w:hint="eastAsia" w:ascii="宋体" w:hAnsi="宋体"/>
          <w:highlight w:val="none"/>
        </w:rPr>
        <w:t>可以在答复期满后15个工作日内向监督管理机构投诉。</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下列情形投诉将不予受理：</w:t>
      </w:r>
    </w:p>
    <w:p>
      <w:pPr>
        <w:numPr>
          <w:ilvl w:val="0"/>
          <w:numId w:val="17"/>
        </w:numPr>
        <w:tabs>
          <w:tab w:val="left" w:pos="1272"/>
        </w:tabs>
        <w:spacing w:line="460" w:lineRule="exact"/>
        <w:ind w:left="1272" w:hanging="424"/>
        <w:jc w:val="both"/>
        <w:rPr>
          <w:rFonts w:ascii="宋体" w:hAnsi="宋体"/>
          <w:highlight w:val="none"/>
        </w:rPr>
      </w:pPr>
      <w:r>
        <w:rPr>
          <w:rFonts w:hint="eastAsia" w:ascii="宋体" w:hAnsi="宋体"/>
          <w:highlight w:val="none"/>
        </w:rPr>
        <w:t>投诉人不是参加所投诉项目采购活动的当事人；</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被投诉人为采购人或采购代理机构之外的当事人；</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所投诉事项未经过质疑的；</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所有投诉事项超过投诉有效期；</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以具有法律效力的文书送达之外方式提出的投诉；</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同一投诉事项已经财政部门投诉处理的；</w:t>
      </w:r>
    </w:p>
    <w:p>
      <w:pPr>
        <w:numPr>
          <w:ilvl w:val="0"/>
          <w:numId w:val="17"/>
        </w:numPr>
        <w:tabs>
          <w:tab w:val="left" w:pos="1272"/>
        </w:tabs>
        <w:spacing w:line="460" w:lineRule="exact"/>
        <w:ind w:left="1272" w:hanging="424"/>
        <w:jc w:val="both"/>
        <w:rPr>
          <w:rFonts w:ascii="宋体" w:hAnsi="宋体"/>
          <w:highlight w:val="none"/>
        </w:rPr>
      </w:pPr>
      <w:r>
        <w:rPr>
          <w:rFonts w:hint="eastAsia" w:ascii="宋体" w:hAnsi="宋体"/>
          <w:highlight w:val="none"/>
        </w:rPr>
        <w:t>投诉书内容不符合规定，监督管理机构及时告知投诉人限期补充或修改后重新投诉，投诉人逾期不按要求补充或修改投诉书的。</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投诉人有下列情形之一的，属于虚假、恶意投诉，驳回投诉，将其列入不良行为记录名单，并依法予以处罚：</w:t>
      </w:r>
    </w:p>
    <w:p>
      <w:pPr>
        <w:numPr>
          <w:ilvl w:val="0"/>
          <w:numId w:val="18"/>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一年内三次以上投诉均查无实据的；</w:t>
      </w:r>
    </w:p>
    <w:p>
      <w:pPr>
        <w:numPr>
          <w:ilvl w:val="0"/>
          <w:numId w:val="18"/>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捏造事实或者提供虚假投诉材料的。</w:t>
      </w:r>
    </w:p>
    <w:p>
      <w:pPr>
        <w:rPr>
          <w:rFonts w:ascii="宋体" w:hAnsi="宋体"/>
          <w:highlight w:val="none"/>
        </w:rPr>
      </w:pPr>
      <w:r>
        <w:rPr>
          <w:rFonts w:hint="eastAsia" w:ascii="宋体" w:hAnsi="宋体"/>
          <w:highlight w:val="none"/>
        </w:rPr>
        <w:br w:type="page"/>
      </w:r>
    </w:p>
    <w:p>
      <w:pPr>
        <w:pStyle w:val="4"/>
        <w:rPr>
          <w:color w:val="auto"/>
          <w:highlight w:val="none"/>
        </w:rPr>
      </w:pPr>
      <w:bookmarkStart w:id="62" w:name="_Toc22149"/>
      <w:bookmarkStart w:id="63" w:name="_Toc26423"/>
      <w:bookmarkStart w:id="64" w:name="_Toc465353219"/>
      <w:bookmarkStart w:id="65" w:name="_Toc25170"/>
      <w:bookmarkStart w:id="66" w:name="_Toc13492_WPSOffice_Level2"/>
      <w:r>
        <w:rPr>
          <w:rFonts w:hint="eastAsia"/>
          <w:color w:val="auto"/>
          <w:highlight w:val="none"/>
        </w:rPr>
        <w:t>（六）授予合同</w:t>
      </w:r>
      <w:bookmarkEnd w:id="62"/>
      <w:bookmarkEnd w:id="63"/>
      <w:bookmarkEnd w:id="64"/>
      <w:bookmarkEnd w:id="65"/>
      <w:bookmarkEnd w:id="66"/>
    </w:p>
    <w:p>
      <w:pPr>
        <w:numPr>
          <w:ilvl w:val="0"/>
          <w:numId w:val="3"/>
        </w:numPr>
        <w:snapToGrid w:val="0"/>
        <w:spacing w:line="460" w:lineRule="exact"/>
        <w:jc w:val="both"/>
        <w:rPr>
          <w:rFonts w:ascii="宋体"/>
          <w:b/>
          <w:sz w:val="24"/>
          <w:highlight w:val="none"/>
        </w:rPr>
      </w:pPr>
      <w:r>
        <w:rPr>
          <w:rFonts w:hint="eastAsia" w:ascii="宋体"/>
          <w:b/>
          <w:sz w:val="24"/>
          <w:highlight w:val="none"/>
        </w:rPr>
        <w:t>接受和拒绝任何或所有报价的权力</w:t>
      </w:r>
    </w:p>
    <w:p>
      <w:pPr>
        <w:tabs>
          <w:tab w:val="left" w:pos="848"/>
        </w:tabs>
        <w:snapToGrid w:val="0"/>
        <w:spacing w:line="460" w:lineRule="exact"/>
        <w:ind w:firstLine="630" w:firstLineChars="300"/>
        <w:rPr>
          <w:rFonts w:ascii="宋体"/>
          <w:szCs w:val="21"/>
          <w:highlight w:val="none"/>
        </w:rPr>
      </w:pPr>
      <w:r>
        <w:rPr>
          <w:rFonts w:hint="eastAsia" w:ascii="宋体"/>
          <w:szCs w:val="21"/>
          <w:highlight w:val="none"/>
        </w:rPr>
        <w:t>采购代理机构和采购人保留在授标之前任何时候接受或拒绝任何报价，以及宣布招标程序无效或拒绝所有报价的权力，对受影响的</w:t>
      </w:r>
      <w:r>
        <w:rPr>
          <w:rFonts w:hint="eastAsia" w:ascii="宋体" w:hAnsi="宋体"/>
          <w:highlight w:val="none"/>
        </w:rPr>
        <w:t>供应商</w:t>
      </w:r>
      <w:r>
        <w:rPr>
          <w:rFonts w:hint="eastAsia" w:ascii="宋体"/>
          <w:szCs w:val="21"/>
          <w:highlight w:val="none"/>
        </w:rPr>
        <w:t>不承担任何责任，也无义务向受影响的</w:t>
      </w:r>
      <w:r>
        <w:rPr>
          <w:rFonts w:hint="eastAsia" w:ascii="宋体" w:hAnsi="宋体"/>
          <w:highlight w:val="none"/>
        </w:rPr>
        <w:t>供应商</w:t>
      </w:r>
      <w:r>
        <w:rPr>
          <w:rFonts w:hint="eastAsia" w:ascii="宋体"/>
          <w:szCs w:val="21"/>
          <w:highlight w:val="none"/>
        </w:rPr>
        <w:t>解释采取这一行动的理由。</w:t>
      </w:r>
    </w:p>
    <w:p>
      <w:pPr>
        <w:snapToGrid w:val="0"/>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中标（成交）通知书</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在报价有效期期满之前，采购代理机构将用信函的方式向中标（成交）供应商发出《中标（成交）通知书》，中标（成交）供应商收到《中标（成交）通知书》后以书面形式向采购代理机构确认。</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通知书》将是合同的一个组成部分，对采购人和供应商具有同等法律效力；《中标（成交）通知书》发出后，采购人无正当理由改变中标（成交）结果，或者中标（成交）供应商放弃中标（成交），均应承担相应的法律责任。</w:t>
      </w:r>
    </w:p>
    <w:p>
      <w:pPr>
        <w:snapToGrid w:val="0"/>
        <w:spacing w:line="460" w:lineRule="exact"/>
        <w:jc w:val="both"/>
        <w:rPr>
          <w:rFonts w:ascii="宋体" w:hAnsi="宋体"/>
          <w:b/>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签订合同</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中标（成交）供应商在收到《中标（成交）通知书》后，应按照《中标（成交）通知书》指定的时间、地点，派遣其授权代表前往与采购人签署合同，并向采购代理机构递交合同原件及副件各一份备案。</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供应商须在《中标（成交）通知书》发出之日起30日内与采购单位签订合同，中标（成交）供应商不得以任何理由拖延、拒绝签订合同。如中标（成交）供应商没有在规定的时间内与采购人签订合同或来书面函退出，则采购人视为该中标（成交）供应商放弃中标（成交）资格。采购人有权将本项目重新组织采购或推荐符合采购要求且报价次低的供应商为中标（成交）供应商。</w:t>
      </w:r>
    </w:p>
    <w:p>
      <w:pPr>
        <w:numPr>
          <w:ilvl w:val="1"/>
          <w:numId w:val="3"/>
        </w:numPr>
        <w:tabs>
          <w:tab w:val="left" w:pos="851"/>
        </w:tabs>
        <w:snapToGrid w:val="0"/>
        <w:spacing w:line="460" w:lineRule="exact"/>
        <w:ind w:left="851" w:hanging="851"/>
        <w:jc w:val="both"/>
        <w:rPr>
          <w:rFonts w:ascii="宋体" w:hAnsi="宋体"/>
          <w:b/>
          <w:highlight w:val="none"/>
        </w:rPr>
      </w:pPr>
      <w:r>
        <w:rPr>
          <w:rFonts w:hint="eastAsia" w:ascii="宋体" w:hAnsi="宋体"/>
          <w:b/>
          <w:highlight w:val="none"/>
        </w:rPr>
        <w:t>拒绝签订采购合同的中标（成交）</w:t>
      </w:r>
      <w:r>
        <w:rPr>
          <w:rFonts w:hint="eastAsia" w:ascii="宋体" w:hAnsi="宋体"/>
          <w:b/>
          <w:bCs/>
          <w:highlight w:val="none"/>
        </w:rPr>
        <w:t>供应商</w:t>
      </w:r>
      <w:r>
        <w:rPr>
          <w:rFonts w:hint="eastAsia" w:ascii="宋体" w:hAnsi="宋体"/>
          <w:b/>
          <w:highlight w:val="none"/>
        </w:rPr>
        <w:t>不得参加对本项目重新开展的采购活动。</w:t>
      </w:r>
    </w:p>
    <w:p>
      <w:pPr>
        <w:rPr>
          <w:highlight w:val="none"/>
        </w:rPr>
      </w:pPr>
    </w:p>
    <w:p>
      <w:pPr>
        <w:numPr>
          <w:ilvl w:val="0"/>
          <w:numId w:val="3"/>
        </w:numPr>
        <w:snapToGrid w:val="0"/>
        <w:spacing w:line="360" w:lineRule="auto"/>
        <w:jc w:val="both"/>
        <w:rPr>
          <w:rFonts w:ascii="宋体" w:hAnsi="宋体"/>
          <w:b/>
          <w:sz w:val="24"/>
          <w:highlight w:val="none"/>
        </w:rPr>
      </w:pPr>
      <w:r>
        <w:rPr>
          <w:rFonts w:hint="eastAsia" w:ascii="宋体" w:hAnsi="宋体"/>
          <w:b/>
          <w:sz w:val="24"/>
          <w:highlight w:val="none"/>
        </w:rPr>
        <w:t>中标（成交）服务费</w:t>
      </w:r>
    </w:p>
    <w:p>
      <w:pPr>
        <w:numPr>
          <w:ilvl w:val="1"/>
          <w:numId w:val="3"/>
        </w:numPr>
        <w:tabs>
          <w:tab w:val="left" w:pos="851"/>
        </w:tabs>
        <w:snapToGrid w:val="0"/>
        <w:spacing w:line="360" w:lineRule="auto"/>
        <w:ind w:left="851" w:hanging="851"/>
        <w:jc w:val="both"/>
        <w:rPr>
          <w:rFonts w:ascii="宋体" w:hAnsi="宋体"/>
          <w:highlight w:val="none"/>
        </w:rPr>
      </w:pPr>
      <w:r>
        <w:rPr>
          <w:rFonts w:hint="eastAsia" w:ascii="宋体" w:hAnsi="宋体"/>
          <w:highlight w:val="none"/>
        </w:rPr>
        <w:t>中标（成交）供应商应在收取《中标（成交）通知书》前须向采购代理机构交纳中标（成交）服务费，中标（成交）</w:t>
      </w:r>
      <w:r>
        <w:rPr>
          <w:rFonts w:hint="eastAsia" w:ascii="宋体" w:hAnsi="宋体"/>
          <w:color w:val="auto"/>
          <w:highlight w:val="none"/>
        </w:rPr>
        <w:t>服务费的收费标准</w:t>
      </w:r>
      <w:r>
        <w:rPr>
          <w:rFonts w:hint="eastAsia" w:ascii="宋体" w:hAnsi="宋体"/>
          <w:color w:val="auto"/>
          <w:highlight w:val="none"/>
          <w:lang w:eastAsia="zh-CN"/>
        </w:rPr>
        <w:t>参照</w:t>
      </w:r>
      <w:r>
        <w:rPr>
          <w:rFonts w:hint="eastAsia" w:ascii="宋体" w:hAnsi="宋体"/>
          <w:color w:val="auto"/>
          <w:highlight w:val="none"/>
        </w:rPr>
        <w:t>国家计委颁发的计价格【2002】1980号文计取（含税、含评委服务费等）</w:t>
      </w:r>
      <w:r>
        <w:rPr>
          <w:rFonts w:hint="eastAsia" w:ascii="宋体" w:hAnsi="宋体"/>
          <w:highlight w:val="none"/>
        </w:rPr>
        <w:t>。费用由中标（成交）供应商支付</w:t>
      </w:r>
      <w:r>
        <w:rPr>
          <w:rFonts w:hint="eastAsia" w:ascii="宋体" w:hAnsi="宋体"/>
          <w:b/>
          <w:highlight w:val="none"/>
        </w:rPr>
        <w:t>（不足</w:t>
      </w:r>
      <w:r>
        <w:rPr>
          <w:rFonts w:hint="eastAsia" w:ascii="宋体" w:hAnsi="宋体"/>
          <w:b/>
          <w:highlight w:val="none"/>
          <w:lang w:val="en-US" w:eastAsia="zh-CN"/>
        </w:rPr>
        <w:t>6</w:t>
      </w:r>
      <w:r>
        <w:rPr>
          <w:rFonts w:hint="eastAsia" w:ascii="宋体" w:hAnsi="宋体"/>
          <w:b/>
          <w:highlight w:val="none"/>
        </w:rPr>
        <w:t>000元的，按照</w:t>
      </w:r>
      <w:r>
        <w:rPr>
          <w:rFonts w:hint="eastAsia" w:ascii="宋体" w:hAnsi="宋体"/>
          <w:b/>
          <w:highlight w:val="none"/>
          <w:lang w:val="en-US" w:eastAsia="zh-CN"/>
        </w:rPr>
        <w:t>6</w:t>
      </w:r>
      <w:r>
        <w:rPr>
          <w:rFonts w:hint="eastAsia" w:ascii="宋体" w:hAnsi="宋体"/>
          <w:b/>
          <w:highlight w:val="none"/>
        </w:rPr>
        <w:t>000元计算）</w:t>
      </w:r>
      <w:r>
        <w:rPr>
          <w:rFonts w:hint="eastAsia" w:ascii="宋体" w:hAnsi="宋体"/>
          <w:highlight w:val="none"/>
        </w:rPr>
        <w:t>收费标准如下表所列：</w:t>
      </w:r>
    </w:p>
    <w:p>
      <w:pPr>
        <w:numPr>
          <w:ilvl w:val="1"/>
          <w:numId w:val="3"/>
        </w:numPr>
        <w:tabs>
          <w:tab w:val="left" w:pos="851"/>
        </w:tabs>
        <w:snapToGrid w:val="0"/>
        <w:spacing w:line="360" w:lineRule="auto"/>
        <w:ind w:left="851" w:hanging="851"/>
        <w:jc w:val="both"/>
        <w:rPr>
          <w:rFonts w:ascii="宋体" w:hAnsi="宋体"/>
          <w:highlight w:val="none"/>
        </w:rPr>
      </w:pPr>
    </w:p>
    <w:tbl>
      <w:tblPr>
        <w:tblStyle w:val="41"/>
        <w:tblW w:w="653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998"/>
        <w:gridCol w:w="353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2998" w:type="dxa"/>
            <w:shd w:val="clear" w:color="auto" w:fill="D9D9D9"/>
            <w:vAlign w:val="center"/>
          </w:tcPr>
          <w:p>
            <w:pPr>
              <w:spacing w:line="360" w:lineRule="auto"/>
              <w:jc w:val="center"/>
              <w:rPr>
                <w:rFonts w:ascii="宋体" w:hAnsi="宋体"/>
                <w:b/>
                <w:highlight w:val="none"/>
              </w:rPr>
            </w:pPr>
            <w:r>
              <w:rPr>
                <w:rFonts w:hint="eastAsia" w:ascii="宋体" w:hAnsi="宋体"/>
                <w:b/>
                <w:highlight w:val="none"/>
              </w:rPr>
              <w:t>中标（成交）金额（万元）</w:t>
            </w:r>
          </w:p>
        </w:tc>
        <w:tc>
          <w:tcPr>
            <w:tcW w:w="3535" w:type="dxa"/>
            <w:shd w:val="clear" w:color="auto" w:fill="D9D9D9"/>
            <w:vAlign w:val="center"/>
          </w:tcPr>
          <w:p>
            <w:pPr>
              <w:spacing w:line="360" w:lineRule="auto"/>
              <w:jc w:val="center"/>
              <w:rPr>
                <w:rFonts w:ascii="宋体" w:hAnsi="宋体"/>
                <w:b/>
                <w:highlight w:val="none"/>
              </w:rPr>
            </w:pPr>
            <w:r>
              <w:rPr>
                <w:rFonts w:hint="eastAsia" w:ascii="宋体" w:hAnsi="宋体"/>
                <w:b/>
                <w:highlight w:val="none"/>
              </w:rPr>
              <w:t>工程招标收费费率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998" w:type="dxa"/>
          </w:tcPr>
          <w:p>
            <w:pPr>
              <w:spacing w:line="360" w:lineRule="auto"/>
              <w:jc w:val="center"/>
              <w:rPr>
                <w:rFonts w:ascii="宋体" w:hAnsi="宋体"/>
                <w:szCs w:val="21"/>
                <w:highlight w:val="none"/>
              </w:rPr>
            </w:pPr>
            <w:r>
              <w:rPr>
                <w:rFonts w:hint="eastAsia" w:ascii="宋体" w:hAnsi="宋体"/>
                <w:szCs w:val="21"/>
                <w:highlight w:val="none"/>
              </w:rPr>
              <w:t>100以下</w:t>
            </w:r>
          </w:p>
        </w:tc>
        <w:tc>
          <w:tcPr>
            <w:tcW w:w="3535" w:type="dxa"/>
          </w:tcPr>
          <w:p>
            <w:pPr>
              <w:spacing w:line="360" w:lineRule="auto"/>
              <w:jc w:val="center"/>
              <w:rPr>
                <w:rFonts w:ascii="宋体" w:hAnsi="宋体"/>
                <w:szCs w:val="21"/>
                <w:highlight w:val="none"/>
              </w:rPr>
            </w:pPr>
            <w:r>
              <w:rPr>
                <w:rFonts w:hint="eastAsia" w:ascii="宋体" w:hAnsi="宋体"/>
                <w:szCs w:val="21"/>
                <w:highlight w:val="none"/>
              </w:rPr>
              <w:t>1.0%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998" w:type="dxa"/>
          </w:tcPr>
          <w:p>
            <w:pPr>
              <w:spacing w:line="360" w:lineRule="auto"/>
              <w:jc w:val="center"/>
              <w:rPr>
                <w:rFonts w:ascii="宋体" w:hAnsi="宋体"/>
                <w:szCs w:val="21"/>
                <w:highlight w:val="none"/>
              </w:rPr>
            </w:pPr>
            <w:r>
              <w:rPr>
                <w:rFonts w:hint="eastAsia" w:ascii="宋体" w:hAnsi="宋体"/>
                <w:szCs w:val="21"/>
                <w:highlight w:val="none"/>
              </w:rPr>
              <w:t>100-500</w:t>
            </w:r>
          </w:p>
        </w:tc>
        <w:tc>
          <w:tcPr>
            <w:tcW w:w="3535" w:type="dxa"/>
          </w:tcPr>
          <w:p>
            <w:pPr>
              <w:spacing w:line="360" w:lineRule="auto"/>
              <w:jc w:val="center"/>
              <w:rPr>
                <w:rFonts w:ascii="宋体" w:hAnsi="宋体"/>
                <w:szCs w:val="21"/>
                <w:highlight w:val="none"/>
              </w:rPr>
            </w:pPr>
            <w:r>
              <w:rPr>
                <w:rFonts w:hint="eastAsia" w:ascii="宋体" w:hAnsi="宋体"/>
                <w:szCs w:val="21"/>
                <w:highlight w:val="none"/>
              </w:rPr>
              <w:t>0.7%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998" w:type="dxa"/>
          </w:tcPr>
          <w:p>
            <w:pPr>
              <w:spacing w:line="360" w:lineRule="auto"/>
              <w:jc w:val="center"/>
              <w:rPr>
                <w:rFonts w:ascii="宋体" w:hAnsi="宋体"/>
                <w:szCs w:val="21"/>
                <w:highlight w:val="none"/>
              </w:rPr>
            </w:pPr>
            <w:r>
              <w:rPr>
                <w:rFonts w:hint="eastAsia" w:ascii="宋体" w:hAnsi="宋体"/>
                <w:szCs w:val="21"/>
                <w:highlight w:val="none"/>
              </w:rPr>
              <w:t>500-1000</w:t>
            </w:r>
          </w:p>
        </w:tc>
        <w:tc>
          <w:tcPr>
            <w:tcW w:w="3535" w:type="dxa"/>
          </w:tcPr>
          <w:p>
            <w:pPr>
              <w:spacing w:line="360" w:lineRule="auto"/>
              <w:jc w:val="center"/>
              <w:rPr>
                <w:rFonts w:ascii="宋体" w:hAnsi="宋体"/>
                <w:szCs w:val="21"/>
                <w:highlight w:val="none"/>
              </w:rPr>
            </w:pPr>
            <w:r>
              <w:rPr>
                <w:rFonts w:hint="eastAsia" w:ascii="宋体" w:hAnsi="宋体"/>
                <w:szCs w:val="21"/>
                <w:highlight w:val="none"/>
              </w:rPr>
              <w:t>0.55%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998" w:type="dxa"/>
          </w:tcPr>
          <w:p>
            <w:pPr>
              <w:spacing w:line="360" w:lineRule="auto"/>
              <w:jc w:val="center"/>
              <w:rPr>
                <w:rFonts w:ascii="宋体" w:hAnsi="宋体"/>
                <w:szCs w:val="21"/>
                <w:highlight w:val="none"/>
              </w:rPr>
            </w:pPr>
            <w:r>
              <w:rPr>
                <w:rFonts w:hint="eastAsia" w:ascii="宋体" w:hAnsi="宋体"/>
                <w:szCs w:val="21"/>
                <w:highlight w:val="none"/>
              </w:rPr>
              <w:t>1000-5000</w:t>
            </w:r>
          </w:p>
        </w:tc>
        <w:tc>
          <w:tcPr>
            <w:tcW w:w="3535" w:type="dxa"/>
          </w:tcPr>
          <w:p>
            <w:pPr>
              <w:spacing w:line="360" w:lineRule="auto"/>
              <w:jc w:val="center"/>
              <w:rPr>
                <w:rFonts w:ascii="宋体" w:hAnsi="宋体"/>
                <w:szCs w:val="21"/>
                <w:highlight w:val="none"/>
              </w:rPr>
            </w:pPr>
            <w:r>
              <w:rPr>
                <w:rFonts w:hint="eastAsia" w:ascii="宋体" w:hAnsi="宋体"/>
                <w:szCs w:val="21"/>
                <w:highlight w:val="none"/>
              </w:rPr>
              <w:t>0.35%</w:t>
            </w:r>
          </w:p>
        </w:tc>
      </w:tr>
    </w:tbl>
    <w:p>
      <w:pPr>
        <w:snapToGrid w:val="0"/>
        <w:spacing w:line="360" w:lineRule="auto"/>
        <w:ind w:firstLine="420"/>
        <w:jc w:val="both"/>
        <w:rPr>
          <w:rFonts w:ascii="宋体"/>
          <w:szCs w:val="21"/>
          <w:highlight w:val="none"/>
        </w:rPr>
      </w:pPr>
      <w:r>
        <w:rPr>
          <w:rFonts w:hint="eastAsia" w:ascii="宋体"/>
          <w:highlight w:val="none"/>
        </w:rPr>
        <w:t>例如：某项目采购代理业务中标（成交）金额为400万元，计算中标（成交）服务费收费额如下：</w:t>
      </w:r>
    </w:p>
    <w:p>
      <w:pPr>
        <w:snapToGrid w:val="0"/>
        <w:spacing w:line="360" w:lineRule="auto"/>
        <w:ind w:firstLine="2910" w:firstLineChars="1386"/>
        <w:rPr>
          <w:rFonts w:ascii="宋体"/>
          <w:highlight w:val="none"/>
        </w:rPr>
      </w:pPr>
      <w:r>
        <w:rPr>
          <w:rFonts w:hint="eastAsia" w:ascii="宋体"/>
          <w:highlight w:val="none"/>
        </w:rPr>
        <w:t>100万元 × 1% = 1万元</w:t>
      </w:r>
    </w:p>
    <w:p>
      <w:pPr>
        <w:snapToGrid w:val="0"/>
        <w:spacing w:line="360" w:lineRule="auto"/>
        <w:ind w:firstLine="2142" w:firstLineChars="1020"/>
        <w:rPr>
          <w:rFonts w:ascii="宋体"/>
          <w:highlight w:val="none"/>
        </w:rPr>
      </w:pPr>
      <w:r>
        <w:rPr>
          <w:rFonts w:hint="eastAsia" w:ascii="宋体"/>
          <w:highlight w:val="none"/>
        </w:rPr>
        <w:t>（400-100）万元 × 0.7% = 2.1万元</w:t>
      </w:r>
    </w:p>
    <w:p>
      <w:pPr>
        <w:tabs>
          <w:tab w:val="left" w:pos="1862"/>
        </w:tabs>
        <w:snapToGrid w:val="0"/>
        <w:spacing w:line="360" w:lineRule="auto"/>
        <w:ind w:firstLine="1959" w:firstLineChars="933"/>
        <w:rPr>
          <w:rFonts w:ascii="宋体"/>
          <w:highlight w:val="none"/>
        </w:rPr>
      </w:pPr>
      <w:r>
        <w:rPr>
          <w:rFonts w:hint="eastAsia" w:ascii="宋体"/>
          <w:highlight w:val="none"/>
        </w:rPr>
        <w:t>合计收费 = 1万元 + 2.1万元 = 3.1万</w:t>
      </w:r>
      <w:r>
        <w:rPr>
          <w:rFonts w:hint="eastAsia" w:ascii="宋体" w:hAnsi="宋体"/>
          <w:szCs w:val="21"/>
          <w:highlight w:val="none"/>
        </w:rPr>
        <w:t>元</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中标（成交）服务费的货币为人民币。</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中标（成交）服务费支付方式：一次性以银行划账、电汇、汇票、支票或现金的形式支付。</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中标（成交）服务费支付时间：中标（成交）服务费必须在中标（成交）</w:t>
      </w:r>
      <w:r>
        <w:rPr>
          <w:rFonts w:hint="eastAsia" w:ascii="宋体" w:hAnsi="宋体"/>
          <w:szCs w:val="21"/>
          <w:highlight w:val="none"/>
        </w:rPr>
        <w:t>供应商</w:t>
      </w:r>
      <w:r>
        <w:rPr>
          <w:rFonts w:hint="eastAsia" w:ascii="宋体" w:hAnsi="宋体"/>
          <w:highlight w:val="none"/>
        </w:rPr>
        <w:t>领取《中标（成交）通知书》时一次性付清，如果中标（成交）供应商未能按时交纳中标（成交）服务费，采购代理机构/采购人保留取消其中标（成交）资格并追究其法律责任的权利。</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中标（成交）服务费不在报价中单列。</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项目的采购代理服务费由中标（成交）供应商一次性向</w:t>
      </w:r>
      <w:r>
        <w:rPr>
          <w:rFonts w:hint="eastAsia" w:ascii="宋体" w:hAnsi="宋体"/>
          <w:highlight w:val="none"/>
          <w:lang w:eastAsia="zh-CN"/>
        </w:rPr>
        <w:t>中山行远项目管理有限公司</w:t>
      </w:r>
      <w:r>
        <w:rPr>
          <w:rFonts w:hint="eastAsia" w:ascii="宋体" w:hAnsi="宋体"/>
          <w:highlight w:val="none"/>
        </w:rPr>
        <w:t>交付。</w:t>
      </w:r>
    </w:p>
    <w:p>
      <w:pPr>
        <w:ind w:firstLine="840" w:firstLineChars="400"/>
        <w:jc w:val="both"/>
        <w:rPr>
          <w:rFonts w:ascii="宋体" w:hAnsi="宋体"/>
          <w:highlight w:val="none"/>
        </w:rPr>
      </w:pPr>
      <w:r>
        <w:rPr>
          <w:rFonts w:hint="eastAsia" w:ascii="宋体" w:hAnsi="宋体"/>
          <w:highlight w:val="none"/>
        </w:rPr>
        <w:t>采购代理服务费递交账户（请在汇款单上写明本项目的项目编号）：</w:t>
      </w:r>
    </w:p>
    <w:p>
      <w:pPr>
        <w:jc w:val="both"/>
        <w:rPr>
          <w:rFonts w:ascii="宋体" w:hAnsi="宋体"/>
          <w:highlight w:val="none"/>
        </w:rPr>
      </w:pPr>
    </w:p>
    <w:p>
      <w:pPr>
        <w:snapToGrid w:val="0"/>
        <w:spacing w:line="460" w:lineRule="exact"/>
        <w:ind w:left="843" w:leftChars="400" w:hanging="3"/>
        <w:jc w:val="both"/>
        <w:rPr>
          <w:rFonts w:hint="eastAsia" w:ascii="宋体" w:hAnsi="宋体"/>
          <w:b/>
          <w:highlight w:val="none"/>
        </w:rPr>
      </w:pPr>
      <w:r>
        <w:rPr>
          <w:rFonts w:hint="eastAsia" w:ascii="宋体" w:hAnsi="宋体"/>
          <w:b/>
          <w:highlight w:val="none"/>
        </w:rPr>
        <w:t>开户银行：中国建设银行股份有限公司中山翠亨新区支行</w:t>
      </w:r>
    </w:p>
    <w:p>
      <w:pPr>
        <w:snapToGrid w:val="0"/>
        <w:spacing w:line="460" w:lineRule="exact"/>
        <w:ind w:left="843" w:leftChars="400" w:hanging="3"/>
        <w:jc w:val="both"/>
        <w:rPr>
          <w:rFonts w:hint="eastAsia" w:ascii="宋体" w:hAnsi="宋体"/>
          <w:b/>
          <w:highlight w:val="none"/>
        </w:rPr>
      </w:pPr>
      <w:r>
        <w:rPr>
          <w:rFonts w:hint="eastAsia" w:ascii="宋体" w:hAnsi="宋体"/>
          <w:b/>
          <w:highlight w:val="none"/>
        </w:rPr>
        <w:t>账户名称：中山行远项目管理有限公司</w:t>
      </w:r>
    </w:p>
    <w:p>
      <w:pPr>
        <w:snapToGrid w:val="0"/>
        <w:spacing w:line="460" w:lineRule="exact"/>
        <w:ind w:left="843" w:leftChars="400" w:hanging="3"/>
        <w:jc w:val="both"/>
        <w:rPr>
          <w:rFonts w:hint="eastAsia" w:ascii="宋体" w:hAnsi="宋体"/>
          <w:b/>
          <w:highlight w:val="none"/>
        </w:rPr>
      </w:pPr>
      <w:r>
        <w:rPr>
          <w:rFonts w:hint="eastAsia" w:ascii="宋体" w:hAnsi="宋体"/>
          <w:b/>
          <w:highlight w:val="none"/>
        </w:rPr>
        <w:t>银行账号：44050178004900000243</w:t>
      </w:r>
    </w:p>
    <w:p>
      <w:pPr>
        <w:snapToGrid w:val="0"/>
        <w:spacing w:line="460" w:lineRule="exact"/>
        <w:ind w:left="843" w:leftChars="400" w:hanging="3"/>
        <w:jc w:val="both"/>
        <w:rPr>
          <w:rFonts w:ascii="宋体" w:hAnsi="宋体"/>
          <w:b/>
          <w:highlight w:val="none"/>
        </w:rPr>
      </w:pPr>
      <w:r>
        <w:rPr>
          <w:rFonts w:hint="eastAsia" w:ascii="宋体" w:hAnsi="宋体"/>
          <w:b/>
          <w:highlight w:val="none"/>
        </w:rPr>
        <w:t>注：以上账户仅用于接收中标（成交）人缴纳的中标（成交）服务费。</w:t>
      </w:r>
    </w:p>
    <w:p>
      <w:pPr>
        <w:numPr>
          <w:ilvl w:val="0"/>
          <w:numId w:val="3"/>
        </w:numPr>
        <w:snapToGrid w:val="0"/>
        <w:spacing w:line="360" w:lineRule="auto"/>
        <w:jc w:val="both"/>
        <w:rPr>
          <w:rFonts w:ascii="宋体" w:hAnsi="宋体"/>
          <w:b/>
          <w:sz w:val="24"/>
          <w:szCs w:val="22"/>
          <w:highlight w:val="none"/>
        </w:rPr>
      </w:pPr>
      <w:r>
        <w:rPr>
          <w:rFonts w:hint="eastAsia" w:ascii="宋体" w:hAnsi="宋体"/>
          <w:b/>
          <w:sz w:val="24"/>
          <w:szCs w:val="22"/>
          <w:highlight w:val="none"/>
        </w:rPr>
        <w:t>其它说明</w:t>
      </w:r>
    </w:p>
    <w:p>
      <w:pPr>
        <w:pStyle w:val="89"/>
        <w:tabs>
          <w:tab w:val="left" w:pos="315"/>
          <w:tab w:val="left" w:pos="1785"/>
          <w:tab w:val="left" w:pos="2310"/>
          <w:tab w:val="left" w:pos="8640"/>
        </w:tabs>
        <w:spacing w:line="480" w:lineRule="auto"/>
        <w:rPr>
          <w:highlight w:val="none"/>
          <w:shd w:val="clear" w:color="auto" w:fill="FFFFFF"/>
        </w:rPr>
      </w:pPr>
      <w:r>
        <w:rPr>
          <w:rFonts w:hint="eastAsia" w:hAnsi="宋体"/>
          <w:bCs/>
          <w:highlight w:val="none"/>
        </w:rPr>
        <w:t>33.1 中小企业参加投标的，</w:t>
      </w:r>
      <w:r>
        <w:rPr>
          <w:rStyle w:val="44"/>
          <w:rFonts w:hint="eastAsia" w:ascii="宋体" w:hAnsi="宋体"/>
          <w:b w:val="0"/>
          <w:highlight w:val="none"/>
          <w:shd w:val="clear" w:color="auto" w:fill="FFFFFF"/>
        </w:rPr>
        <w:t>1)</w:t>
      </w:r>
      <w:r>
        <w:rPr>
          <w:rFonts w:hint="eastAsia"/>
          <w:highlight w:val="none"/>
          <w:shd w:val="clear" w:color="auto" w:fill="FFFFFF"/>
        </w:rPr>
        <w:t>参照《中国人民银行中山市中心支行 中山市财政局 中山市经济和信息化局 中山市人民政府金融工作局关于印发&lt;中山市政府采购支持中小微企业质押融资的实施意见&gt;的通知》（中人银发【2017】82号）规定，凡通过政府采购法定程序取得我市政府采购合同的中小微企业，均可向辖内开展政府采购质押融资业务的银行机构申请办理融资业务。</w:t>
      </w:r>
    </w:p>
    <w:p>
      <w:pPr>
        <w:pStyle w:val="89"/>
        <w:tabs>
          <w:tab w:val="left" w:pos="315"/>
          <w:tab w:val="left" w:pos="1785"/>
          <w:tab w:val="left" w:pos="2310"/>
          <w:tab w:val="left" w:pos="8640"/>
        </w:tabs>
        <w:spacing w:line="480" w:lineRule="auto"/>
        <w:ind w:firstLine="420" w:firstLineChars="200"/>
        <w:rPr>
          <w:highlight w:val="none"/>
          <w:shd w:val="clear" w:color="auto" w:fill="FFFFFF"/>
        </w:rPr>
      </w:pPr>
      <w:r>
        <w:rPr>
          <w:rFonts w:hint="eastAsia"/>
          <w:highlight w:val="none"/>
          <w:shd w:val="clear" w:color="auto" w:fill="FFFFFF"/>
        </w:rPr>
        <w:t>截至当前，辖内开展政府采购质押融资业务的银行机构报备的联系方式如下：</w:t>
      </w:r>
    </w:p>
    <w:tbl>
      <w:tblPr>
        <w:tblStyle w:val="41"/>
        <w:tblW w:w="9557" w:type="dxa"/>
        <w:tblInd w:w="0" w:type="dxa"/>
        <w:tblLayout w:type="fixed"/>
        <w:tblCellMar>
          <w:top w:w="0" w:type="dxa"/>
          <w:left w:w="0" w:type="dxa"/>
          <w:bottom w:w="0" w:type="dxa"/>
          <w:right w:w="0" w:type="dxa"/>
        </w:tblCellMar>
      </w:tblPr>
      <w:tblGrid>
        <w:gridCol w:w="448"/>
        <w:gridCol w:w="3464"/>
        <w:gridCol w:w="2262"/>
        <w:gridCol w:w="1260"/>
        <w:gridCol w:w="2123"/>
      </w:tblGrid>
      <w:tr>
        <w:tblPrEx>
          <w:tblCellMar>
            <w:top w:w="0" w:type="dxa"/>
            <w:left w:w="0" w:type="dxa"/>
            <w:bottom w:w="0" w:type="dxa"/>
            <w:right w:w="0" w:type="dxa"/>
          </w:tblCellMar>
        </w:tblPrEx>
        <w:trPr>
          <w:trHeight w:val="1131" w:hRule="atLeast"/>
        </w:trPr>
        <w:tc>
          <w:tcPr>
            <w:tcW w:w="44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序号</w:t>
            </w:r>
          </w:p>
        </w:tc>
        <w:tc>
          <w:tcPr>
            <w:tcW w:w="3464"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银行机构</w:t>
            </w:r>
          </w:p>
        </w:tc>
        <w:tc>
          <w:tcPr>
            <w:tcW w:w="2262"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经办部门</w:t>
            </w:r>
          </w:p>
        </w:tc>
        <w:tc>
          <w:tcPr>
            <w:tcW w:w="126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联系人</w:t>
            </w:r>
          </w:p>
        </w:tc>
        <w:tc>
          <w:tcPr>
            <w:tcW w:w="2123"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联系方式</w:t>
            </w:r>
          </w:p>
        </w:tc>
      </w:tr>
      <w:tr>
        <w:tblPrEx>
          <w:tblCellMar>
            <w:top w:w="0" w:type="dxa"/>
            <w:left w:w="0" w:type="dxa"/>
            <w:bottom w:w="0" w:type="dxa"/>
            <w:right w:w="0" w:type="dxa"/>
          </w:tblCellMar>
        </w:tblPrEx>
        <w:trPr>
          <w:trHeight w:val="590"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1</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中国农业发展银行中山市分行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客户业务部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邹可仕</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18802598981</w:t>
            </w:r>
          </w:p>
        </w:tc>
      </w:tr>
      <w:tr>
        <w:tblPrEx>
          <w:tblCellMar>
            <w:top w:w="0" w:type="dxa"/>
            <w:left w:w="0" w:type="dxa"/>
            <w:bottom w:w="0" w:type="dxa"/>
            <w:right w:w="0" w:type="dxa"/>
          </w:tblCellMar>
        </w:tblPrEx>
        <w:trPr>
          <w:trHeight w:val="590"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信贷与风险管理部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陈小龙</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15889891688</w:t>
            </w:r>
          </w:p>
        </w:tc>
      </w:tr>
      <w:tr>
        <w:tblPrEx>
          <w:tblCellMar>
            <w:top w:w="0" w:type="dxa"/>
            <w:left w:w="0" w:type="dxa"/>
            <w:bottom w:w="0" w:type="dxa"/>
            <w:right w:w="0" w:type="dxa"/>
          </w:tblCellMar>
        </w:tblPrEx>
        <w:trPr>
          <w:trHeight w:val="590"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2</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中国工商银行中山分行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普惠金融事业部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陈炳菁</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18928108782</w:t>
            </w:r>
          </w:p>
        </w:tc>
      </w:tr>
      <w:tr>
        <w:tblPrEx>
          <w:tblCellMar>
            <w:top w:w="0" w:type="dxa"/>
            <w:left w:w="0" w:type="dxa"/>
            <w:bottom w:w="0" w:type="dxa"/>
            <w:right w:w="0" w:type="dxa"/>
          </w:tblCellMar>
        </w:tblPrEx>
        <w:trPr>
          <w:trHeight w:val="590"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普惠金融事业部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杨培鹏</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15900085352</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3</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中国农业银行中山分行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普惠金融事业部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赖思韵</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22644682</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4</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广发银行中山分行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林光宇</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88862643</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5</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中国邮政储蓄银行中山市分行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小企业金融部</w:t>
            </w:r>
          </w:p>
        </w:tc>
        <w:tc>
          <w:tcPr>
            <w:tcW w:w="1260" w:type="dxa"/>
            <w:tcBorders>
              <w:top w:val="nil"/>
              <w:left w:val="nil"/>
              <w:bottom w:val="nil"/>
              <w:right w:val="nil"/>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黄嘉霖</w:t>
            </w:r>
          </w:p>
        </w:tc>
        <w:tc>
          <w:tcPr>
            <w:tcW w:w="2123" w:type="dxa"/>
            <w:tcBorders>
              <w:top w:val="nil"/>
              <w:left w:val="single" w:color="auto" w:sz="4" w:space="0"/>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13824720741</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6</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中山农村商业银行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总行公司业务部</w:t>
            </w:r>
          </w:p>
        </w:tc>
        <w:tc>
          <w:tcPr>
            <w:tcW w:w="126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杜保森</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88884181</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7</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平安银行中山分行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林晓冰</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13823931817</w:t>
            </w:r>
          </w:p>
        </w:tc>
      </w:tr>
      <w:tr>
        <w:tblPrEx>
          <w:tblCellMar>
            <w:top w:w="0" w:type="dxa"/>
            <w:left w:w="0" w:type="dxa"/>
            <w:bottom w:w="0" w:type="dxa"/>
            <w:right w:w="0" w:type="dxa"/>
          </w:tblCellMar>
        </w:tblPrEx>
        <w:trPr>
          <w:trHeight w:val="1131"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8</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兴业银行中山分行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企业金融部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刘中芳</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0760-88368666-203172</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9</w:t>
            </w:r>
          </w:p>
        </w:tc>
        <w:tc>
          <w:tcPr>
            <w:tcW w:w="3464"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招商银行中山分行</w:t>
            </w:r>
          </w:p>
        </w:tc>
        <w:tc>
          <w:tcPr>
            <w:tcW w:w="2262"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公司金融事业部</w:t>
            </w:r>
          </w:p>
        </w:tc>
        <w:tc>
          <w:tcPr>
            <w:tcW w:w="1260"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唐庆颖</w:t>
            </w:r>
          </w:p>
        </w:tc>
        <w:tc>
          <w:tcPr>
            <w:tcW w:w="2123"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13924998608</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10</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中国光大银行中山分行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公司业务管理部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张梓颖</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0760-88858067</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11</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广州银行中山分行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杨顺龙</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88776919</w:t>
            </w:r>
          </w:p>
        </w:tc>
      </w:tr>
      <w:tr>
        <w:tblPrEx>
          <w:tblCellMar>
            <w:top w:w="0" w:type="dxa"/>
            <w:left w:w="0" w:type="dxa"/>
            <w:bottom w:w="0" w:type="dxa"/>
            <w:right w:w="0" w:type="dxa"/>
          </w:tblCellMar>
        </w:tblPrEx>
        <w:trPr>
          <w:trHeight w:val="590"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12</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中信银行中山分行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陈廷忠</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15113386853</w:t>
            </w:r>
          </w:p>
        </w:tc>
      </w:tr>
      <w:tr>
        <w:tblPrEx>
          <w:tblCellMar>
            <w:top w:w="0" w:type="dxa"/>
            <w:left w:w="0" w:type="dxa"/>
            <w:bottom w:w="0" w:type="dxa"/>
            <w:right w:w="0" w:type="dxa"/>
          </w:tblCellMar>
        </w:tblPrEx>
        <w:trPr>
          <w:trHeight w:val="590"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余超贤</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15918291829</w:t>
            </w:r>
          </w:p>
        </w:tc>
      </w:tr>
      <w:tr>
        <w:tblPrEx>
          <w:tblCellMar>
            <w:top w:w="0" w:type="dxa"/>
            <w:left w:w="0" w:type="dxa"/>
            <w:bottom w:w="0" w:type="dxa"/>
            <w:right w:w="0" w:type="dxa"/>
          </w:tblCellMar>
        </w:tblPrEx>
        <w:trPr>
          <w:trHeight w:val="1131"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13</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渤海银行中山分行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李建夏</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13631124024、0760-87911816</w:t>
            </w:r>
          </w:p>
        </w:tc>
      </w:tr>
      <w:tr>
        <w:tblPrEx>
          <w:tblCellMar>
            <w:top w:w="0" w:type="dxa"/>
            <w:left w:w="0" w:type="dxa"/>
            <w:bottom w:w="0" w:type="dxa"/>
            <w:right w:w="0" w:type="dxa"/>
          </w:tblCellMar>
        </w:tblPrEx>
        <w:trPr>
          <w:trHeight w:val="1131"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分行营业部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徐艺</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13928142042、0760-87911808</w:t>
            </w:r>
          </w:p>
        </w:tc>
      </w:tr>
      <w:tr>
        <w:tblPrEx>
          <w:tblCellMar>
            <w:top w:w="0" w:type="dxa"/>
            <w:left w:w="0" w:type="dxa"/>
            <w:bottom w:w="0" w:type="dxa"/>
            <w:right w:w="0" w:type="dxa"/>
          </w:tblCellMar>
        </w:tblPrEx>
        <w:trPr>
          <w:trHeight w:val="590"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14</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华夏银行中山分行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营销管理部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叶怡</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28137855</w:t>
            </w:r>
          </w:p>
        </w:tc>
      </w:tr>
      <w:tr>
        <w:tblPrEx>
          <w:tblCellMar>
            <w:top w:w="0" w:type="dxa"/>
            <w:left w:w="0" w:type="dxa"/>
            <w:bottom w:w="0" w:type="dxa"/>
            <w:right w:w="0" w:type="dxa"/>
          </w:tblCellMar>
        </w:tblPrEx>
        <w:trPr>
          <w:trHeight w:val="1131"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15</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东莞银行中山分行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业务部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赵荣耀</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13042854636/86939959</w:t>
            </w:r>
          </w:p>
        </w:tc>
      </w:tr>
      <w:tr>
        <w:tblPrEx>
          <w:tblCellMar>
            <w:top w:w="0" w:type="dxa"/>
            <w:left w:w="0" w:type="dxa"/>
            <w:bottom w:w="0" w:type="dxa"/>
            <w:right w:w="0" w:type="dxa"/>
          </w:tblCellMar>
        </w:tblPrEx>
        <w:trPr>
          <w:trHeight w:val="1131"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16</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东亚银行（中国）有限公司中山支行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中山支行</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王涛</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89986282/18926998881</w:t>
            </w:r>
          </w:p>
        </w:tc>
      </w:tr>
      <w:tr>
        <w:tblPrEx>
          <w:tblCellMar>
            <w:top w:w="0" w:type="dxa"/>
            <w:left w:w="0" w:type="dxa"/>
            <w:bottom w:w="0" w:type="dxa"/>
            <w:right w:w="0" w:type="dxa"/>
          </w:tblCellMar>
        </w:tblPrEx>
        <w:trPr>
          <w:trHeight w:val="66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17</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浦发银行中山分行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交易银行部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付涛</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0760-89982303</w:t>
            </w:r>
          </w:p>
        </w:tc>
      </w:tr>
    </w:tbl>
    <w:p>
      <w:pPr>
        <w:pStyle w:val="89"/>
        <w:tabs>
          <w:tab w:val="left" w:pos="315"/>
          <w:tab w:val="left" w:pos="1785"/>
          <w:tab w:val="left" w:pos="2310"/>
          <w:tab w:val="left" w:pos="8640"/>
        </w:tabs>
        <w:spacing w:line="480" w:lineRule="auto"/>
        <w:ind w:firstLine="420" w:firstLineChars="200"/>
        <w:jc w:val="both"/>
        <w:rPr>
          <w:highlight w:val="none"/>
        </w:rPr>
      </w:pPr>
      <w:r>
        <w:rPr>
          <w:rFonts w:hint="eastAsia"/>
          <w:highlight w:val="none"/>
        </w:rPr>
        <w:t>2)</w:t>
      </w:r>
      <w:r>
        <w:rPr>
          <w:rFonts w:hint="eastAsia"/>
          <w:highlight w:val="none"/>
          <w:shd w:val="clear" w:color="auto" w:fill="FFFFFF"/>
          <w:lang w:eastAsia="en-US"/>
        </w:rPr>
        <w:t>中小微企业有融资需求的，可通过应收账款融资服务平台（网址：www.crcrfsp.com）和中山市社会征信和金融服务一体化系统（网址：</w:t>
      </w:r>
      <w:r>
        <w:rPr>
          <w:highlight w:val="none"/>
        </w:rPr>
        <w:fldChar w:fldCharType="begin"/>
      </w:r>
      <w:r>
        <w:rPr>
          <w:highlight w:val="none"/>
        </w:rPr>
        <w:instrText xml:space="preserve"> HYPERLINK "http://www.zsythxt.zs.gov.cn）向辖内特定或非特定银行机构咨询并提出融资申请。" </w:instrText>
      </w:r>
      <w:r>
        <w:rPr>
          <w:highlight w:val="none"/>
        </w:rPr>
        <w:fldChar w:fldCharType="separate"/>
      </w:r>
      <w:r>
        <w:rPr>
          <w:rStyle w:val="50"/>
          <w:rFonts w:hint="eastAsia" w:hAnsi="宋体"/>
          <w:color w:val="auto"/>
          <w:highlight w:val="none"/>
        </w:rPr>
        <w:t>www.zsythxt.zs.gov.cn）向辖内特定或非特定银行机构咨询并提出融资申请。</w:t>
      </w:r>
      <w:r>
        <w:rPr>
          <w:rStyle w:val="50"/>
          <w:rFonts w:hint="eastAsia" w:hAnsi="宋体"/>
          <w:color w:val="auto"/>
          <w:highlight w:val="none"/>
        </w:rPr>
        <w:fldChar w:fldCharType="end"/>
      </w:r>
    </w:p>
    <w:p>
      <w:pPr>
        <w:pStyle w:val="89"/>
        <w:tabs>
          <w:tab w:val="left" w:pos="315"/>
          <w:tab w:val="left" w:pos="1785"/>
          <w:tab w:val="left" w:pos="2310"/>
          <w:tab w:val="left" w:pos="8640"/>
        </w:tabs>
        <w:spacing w:line="480" w:lineRule="auto"/>
        <w:ind w:firstLine="420" w:firstLineChars="200"/>
        <w:rPr>
          <w:highlight w:val="none"/>
          <w:shd w:val="clear" w:color="auto" w:fill="FFFFFF"/>
          <w:lang w:eastAsia="en-US"/>
        </w:rPr>
      </w:pPr>
      <w:r>
        <w:rPr>
          <w:rFonts w:hint="eastAsia"/>
          <w:highlight w:val="none"/>
        </w:rPr>
        <w:t>3)</w:t>
      </w:r>
      <w:r>
        <w:rPr>
          <w:rFonts w:hint="eastAsia"/>
          <w:highlight w:val="none"/>
          <w:shd w:val="clear" w:color="auto" w:fill="FFFFFF"/>
          <w:lang w:eastAsia="en-US"/>
        </w:rPr>
        <w:t>采购人应当及时在应收账款融资服务平台（网址：www.crcrfsp.com）确认债权债务关系，支持中小微企业融资。</w:t>
      </w:r>
    </w:p>
    <w:p>
      <w:pPr>
        <w:pStyle w:val="89"/>
        <w:tabs>
          <w:tab w:val="left" w:pos="315"/>
          <w:tab w:val="left" w:pos="1785"/>
          <w:tab w:val="left" w:pos="2310"/>
          <w:tab w:val="left" w:pos="8640"/>
        </w:tabs>
        <w:spacing w:line="480" w:lineRule="auto"/>
        <w:ind w:firstLine="420" w:firstLineChars="200"/>
        <w:rPr>
          <w:highlight w:val="none"/>
        </w:rPr>
      </w:pPr>
      <w:r>
        <w:rPr>
          <w:rFonts w:hint="eastAsia"/>
          <w:highlight w:val="none"/>
        </w:rPr>
        <w:t>4)</w:t>
      </w:r>
      <w:r>
        <w:rPr>
          <w:rFonts w:hint="eastAsia"/>
          <w:highlight w:val="none"/>
          <w:shd w:val="clear" w:color="auto" w:fill="FFFFFF"/>
        </w:rPr>
        <w:t>中小微企业与银行机构签订政府采购质押融资合同的，由采购人牵头与中小微企业和银行机构三方签署《政府采购合同项下政府采购资金唯一回款账户确认函》，确保合同款支付到中小微企业在融资银行机构开立的回款账号。</w:t>
      </w:r>
    </w:p>
    <w:p>
      <w:pPr>
        <w:pStyle w:val="23"/>
        <w:adjustRightInd w:val="0"/>
        <w:snapToGrid w:val="0"/>
        <w:spacing w:line="480" w:lineRule="auto"/>
        <w:ind w:firstLine="210" w:firstLineChars="100"/>
        <w:rPr>
          <w:rFonts w:hAnsi="宋体"/>
          <w:bCs/>
          <w:highlight w:val="none"/>
        </w:rPr>
      </w:pPr>
      <w:r>
        <w:rPr>
          <w:rFonts w:hint="eastAsia"/>
          <w:highlight w:val="none"/>
        </w:rPr>
        <w:t>5)</w:t>
      </w:r>
      <w:r>
        <w:rPr>
          <w:rFonts w:hint="eastAsia"/>
          <w:highlight w:val="none"/>
          <w:shd w:val="clear" w:color="auto" w:fill="FFFFFF"/>
        </w:rPr>
        <w:t>财政部门根据《中华人民共和国政府采购法》等相关法规、规章规定，对参加政府采购活动的供应商的不良行为予以记录，并纳入中山市社会征信和金融服务一体化系统，供银行机构融资授信时审慎性参考。</w:t>
      </w:r>
    </w:p>
    <w:p>
      <w:pPr>
        <w:tabs>
          <w:tab w:val="left" w:pos="851"/>
        </w:tabs>
        <w:snapToGrid w:val="0"/>
        <w:spacing w:line="460" w:lineRule="exact"/>
        <w:ind w:left="284"/>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 xml:space="preserve"> 磋商采购文件的解释权</w:t>
      </w:r>
    </w:p>
    <w:p>
      <w:pPr>
        <w:widowControl w:val="0"/>
        <w:tabs>
          <w:tab w:val="left" w:pos="848"/>
        </w:tabs>
        <w:spacing w:line="460" w:lineRule="exact"/>
        <w:ind w:left="-424" w:leftChars="-202" w:firstLine="1260" w:firstLineChars="600"/>
        <w:jc w:val="both"/>
        <w:rPr>
          <w:rFonts w:ascii="宋体" w:hAnsi="宋体"/>
          <w:b/>
          <w:sz w:val="24"/>
          <w:szCs w:val="24"/>
          <w:highlight w:val="none"/>
        </w:rPr>
      </w:pPr>
      <w:r>
        <w:rPr>
          <w:rFonts w:hint="eastAsia" w:ascii="宋体"/>
          <w:szCs w:val="21"/>
          <w:highlight w:val="none"/>
        </w:rPr>
        <w:t>本磋商采购文件的解释权归</w:t>
      </w:r>
      <w:r>
        <w:rPr>
          <w:rFonts w:hint="eastAsia" w:ascii="宋体"/>
          <w:szCs w:val="21"/>
          <w:highlight w:val="none"/>
          <w:lang w:eastAsia="zh-CN"/>
        </w:rPr>
        <w:t>中山行远项目管理有限公司</w:t>
      </w:r>
      <w:r>
        <w:rPr>
          <w:rFonts w:hint="eastAsia" w:ascii="宋体"/>
          <w:szCs w:val="21"/>
          <w:highlight w:val="none"/>
        </w:rPr>
        <w:t>所有。</w:t>
      </w:r>
    </w:p>
    <w:p>
      <w:pPr>
        <w:rPr>
          <w:b/>
          <w:szCs w:val="21"/>
          <w:highlight w:val="none"/>
        </w:rPr>
        <w:sectPr>
          <w:footerReference r:id="rId8" w:type="first"/>
          <w:footerReference r:id="rId7" w:type="default"/>
          <w:pgSz w:w="11906" w:h="16838"/>
          <w:pgMar w:top="1134" w:right="1134" w:bottom="1134" w:left="1134" w:header="851" w:footer="992" w:gutter="0"/>
          <w:pgNumType w:start="1"/>
          <w:cols w:space="720" w:num="1"/>
          <w:titlePg/>
          <w:docGrid w:linePitch="312" w:charSpace="0"/>
        </w:sectPr>
      </w:pPr>
    </w:p>
    <w:p>
      <w:pPr>
        <w:rPr>
          <w:b/>
          <w:szCs w:val="21"/>
          <w:highlight w:val="none"/>
        </w:rPr>
      </w:pPr>
    </w:p>
    <w:p>
      <w:pPr>
        <w:ind w:right="191" w:rightChars="91"/>
        <w:rPr>
          <w:rFonts w:ascii="宋体" w:hAnsi="宋体"/>
          <w:sz w:val="30"/>
          <w:szCs w:val="30"/>
          <w:highlight w:val="none"/>
        </w:rPr>
      </w:pPr>
      <w:bookmarkStart w:id="67" w:name="_Toc6258"/>
      <w:bookmarkStart w:id="68" w:name="_Toc26068_WPSOffice_Level2"/>
      <w:r>
        <w:rPr>
          <w:rFonts w:hint="eastAsia" w:ascii="宋体" w:hAnsi="宋体"/>
          <w:szCs w:val="21"/>
          <w:highlight w:val="none"/>
        </w:rPr>
        <w:t>附表3-1：</w:t>
      </w:r>
      <w:bookmarkEnd w:id="67"/>
      <w:bookmarkEnd w:id="68"/>
    </w:p>
    <w:p>
      <w:pPr>
        <w:ind w:right="191" w:rightChars="91"/>
        <w:jc w:val="center"/>
        <w:rPr>
          <w:rFonts w:ascii="宋体" w:hAnsi="宋体"/>
          <w:b/>
          <w:bCs/>
          <w:sz w:val="36"/>
          <w:szCs w:val="36"/>
          <w:highlight w:val="none"/>
          <w:u w:val="single"/>
        </w:rPr>
      </w:pPr>
      <w:bookmarkStart w:id="69" w:name="_Toc13912_WPSOffice_Level2"/>
      <w:bookmarkStart w:id="70" w:name="_Toc11055"/>
      <w:r>
        <w:rPr>
          <w:rFonts w:hint="eastAsia" w:ascii="宋体" w:hAnsi="宋体"/>
          <w:b/>
          <w:bCs/>
          <w:sz w:val="36"/>
          <w:szCs w:val="36"/>
          <w:highlight w:val="none"/>
          <w:u w:val="single"/>
        </w:rPr>
        <w:t>初 步 审 查 表</w:t>
      </w:r>
      <w:bookmarkEnd w:id="69"/>
      <w:bookmarkEnd w:id="70"/>
    </w:p>
    <w:p>
      <w:pPr>
        <w:pStyle w:val="2"/>
        <w:rPr>
          <w:highlight w:val="none"/>
        </w:rPr>
      </w:pPr>
    </w:p>
    <w:p>
      <w:pPr>
        <w:ind w:right="191" w:rightChars="91" w:firstLine="422" w:firstLineChars="200"/>
        <w:rPr>
          <w:rFonts w:ascii="宋体" w:hAnsi="宋体"/>
          <w:bCs/>
          <w:sz w:val="18"/>
          <w:szCs w:val="18"/>
          <w:highlight w:val="none"/>
          <w:u w:val="single"/>
        </w:rPr>
      </w:pPr>
      <w:r>
        <w:rPr>
          <w:rFonts w:hint="eastAsia" w:ascii="宋体" w:hAnsi="宋体"/>
          <w:b/>
          <w:szCs w:val="21"/>
          <w:highlight w:val="none"/>
        </w:rPr>
        <w:t>项目名称：                                                                  项目编号：</w:t>
      </w:r>
    </w:p>
    <w:tbl>
      <w:tblPr>
        <w:tblStyle w:val="41"/>
        <w:tblW w:w="1331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
        <w:gridCol w:w="3350"/>
        <w:gridCol w:w="821"/>
        <w:gridCol w:w="821"/>
        <w:gridCol w:w="821"/>
        <w:gridCol w:w="821"/>
        <w:gridCol w:w="821"/>
        <w:gridCol w:w="821"/>
        <w:gridCol w:w="821"/>
        <w:gridCol w:w="821"/>
        <w:gridCol w:w="1192"/>
        <w:gridCol w:w="900"/>
        <w:gridCol w:w="90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684" w:hRule="atLeast"/>
          <w:jc w:val="center"/>
        </w:trPr>
        <w:tc>
          <w:tcPr>
            <w:tcW w:w="403" w:type="dxa"/>
            <w:shd w:val="clear" w:color="auto" w:fill="CCCCCC"/>
            <w:vAlign w:val="center"/>
          </w:tcPr>
          <w:p>
            <w:pPr>
              <w:snapToGrid w:val="0"/>
              <w:rPr>
                <w:rFonts w:ascii="宋体" w:hAnsi="宋体" w:cs="宋体"/>
                <w:b/>
                <w:sz w:val="18"/>
                <w:szCs w:val="18"/>
                <w:highlight w:val="none"/>
              </w:rPr>
            </w:pPr>
            <w:r>
              <w:rPr>
                <w:rFonts w:hint="eastAsia" w:ascii="宋体" w:hAnsi="宋体" w:cs="宋体"/>
                <w:b/>
                <w:sz w:val="18"/>
                <w:szCs w:val="18"/>
                <w:highlight w:val="none"/>
              </w:rPr>
              <w:t>序号</w:t>
            </w:r>
          </w:p>
        </w:tc>
        <w:tc>
          <w:tcPr>
            <w:tcW w:w="3350" w:type="dxa"/>
            <w:shd w:val="clear" w:color="auto" w:fill="CCCCCC"/>
            <w:vAlign w:val="center"/>
          </w:tcPr>
          <w:p>
            <w:pPr>
              <w:snapToGrid w:val="0"/>
              <w:jc w:val="center"/>
              <w:rPr>
                <w:rFonts w:ascii="宋体" w:hAnsi="宋体" w:cs="宋体"/>
                <w:b/>
                <w:sz w:val="18"/>
                <w:szCs w:val="18"/>
                <w:highlight w:val="none"/>
              </w:rPr>
            </w:pPr>
            <w:r>
              <w:rPr>
                <w:rFonts w:hint="eastAsia" w:ascii="宋体" w:hAnsi="宋体" w:cs="宋体"/>
                <w:b/>
                <w:sz w:val="18"/>
                <w:szCs w:val="18"/>
                <w:highlight w:val="none"/>
              </w:rPr>
              <w:t xml:space="preserve">供应商 </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报价人符合合格报价人的基本条件</w:t>
            </w:r>
          </w:p>
        </w:tc>
        <w:tc>
          <w:tcPr>
            <w:tcW w:w="821" w:type="dxa"/>
            <w:shd w:val="clear" w:color="auto" w:fill="CCCCCC"/>
            <w:vAlign w:val="center"/>
          </w:tcPr>
          <w:p>
            <w:pPr>
              <w:jc w:val="center"/>
              <w:rPr>
                <w:rFonts w:ascii="宋体" w:hAnsi="宋体" w:cs="宋体"/>
                <w:b/>
                <w:sz w:val="18"/>
                <w:szCs w:val="18"/>
                <w:highlight w:val="none"/>
              </w:rPr>
            </w:pPr>
            <w:r>
              <w:rPr>
                <w:rFonts w:hint="eastAsia" w:hAnsi="宋体" w:cs="宋体"/>
                <w:b/>
                <w:sz w:val="18"/>
                <w:szCs w:val="18"/>
                <w:highlight w:val="none"/>
              </w:rPr>
              <w:t>响应</w:t>
            </w:r>
            <w:r>
              <w:rPr>
                <w:rFonts w:hint="eastAsia" w:ascii="宋体" w:hAnsi="宋体" w:cs="宋体"/>
                <w:b/>
                <w:sz w:val="18"/>
                <w:szCs w:val="18"/>
                <w:highlight w:val="none"/>
              </w:rPr>
              <w:t>文件有效期</w:t>
            </w:r>
          </w:p>
        </w:tc>
        <w:tc>
          <w:tcPr>
            <w:tcW w:w="821" w:type="dxa"/>
            <w:shd w:val="clear" w:color="auto" w:fill="CCCCCC"/>
            <w:vAlign w:val="center"/>
          </w:tcPr>
          <w:p>
            <w:pPr>
              <w:jc w:val="center"/>
              <w:rPr>
                <w:rFonts w:ascii="宋体" w:hAnsi="宋体" w:cs="宋体"/>
                <w:b/>
                <w:sz w:val="18"/>
                <w:szCs w:val="18"/>
                <w:highlight w:val="none"/>
              </w:rPr>
            </w:pPr>
            <w:r>
              <w:rPr>
                <w:rFonts w:hint="eastAsia" w:hAnsi="宋体" w:cs="宋体"/>
                <w:b/>
                <w:sz w:val="18"/>
                <w:szCs w:val="18"/>
                <w:highlight w:val="none"/>
              </w:rPr>
              <w:t>响应</w:t>
            </w:r>
            <w:r>
              <w:rPr>
                <w:rFonts w:hint="eastAsia" w:ascii="宋体" w:hAnsi="宋体" w:cs="宋体"/>
                <w:b/>
                <w:sz w:val="18"/>
                <w:szCs w:val="18"/>
                <w:highlight w:val="none"/>
              </w:rPr>
              <w:t>文件主要资料齐全</w:t>
            </w:r>
          </w:p>
        </w:tc>
        <w:tc>
          <w:tcPr>
            <w:tcW w:w="821" w:type="dxa"/>
            <w:shd w:val="clear" w:color="auto" w:fill="CCCCCC"/>
            <w:vAlign w:val="center"/>
          </w:tcPr>
          <w:p>
            <w:pPr>
              <w:jc w:val="center"/>
              <w:rPr>
                <w:rFonts w:ascii="宋体" w:hAnsi="宋体" w:cs="宋体"/>
                <w:b/>
                <w:sz w:val="18"/>
                <w:szCs w:val="18"/>
                <w:highlight w:val="none"/>
              </w:rPr>
            </w:pPr>
            <w:r>
              <w:rPr>
                <w:rFonts w:hint="eastAsia" w:hAnsi="宋体" w:cs="宋体"/>
                <w:b/>
                <w:sz w:val="18"/>
                <w:szCs w:val="18"/>
                <w:highlight w:val="none"/>
              </w:rPr>
              <w:t>响应</w:t>
            </w:r>
            <w:r>
              <w:rPr>
                <w:rFonts w:hint="eastAsia" w:ascii="宋体" w:hAnsi="宋体" w:cs="宋体"/>
                <w:b/>
                <w:sz w:val="18"/>
                <w:szCs w:val="18"/>
                <w:highlight w:val="none"/>
              </w:rPr>
              <w:t>文件签署合格</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报价价格唯一固定</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报价无重大漏项或重大不合理</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首次报价和绿色施工安全防护措施费符合本项目规定的范围</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重要响应指标满足要求</w:t>
            </w:r>
          </w:p>
        </w:tc>
        <w:tc>
          <w:tcPr>
            <w:tcW w:w="1192"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商务无重大保留或偏差</w:t>
            </w:r>
          </w:p>
        </w:tc>
        <w:tc>
          <w:tcPr>
            <w:tcW w:w="900" w:type="dxa"/>
            <w:shd w:val="clear" w:color="auto" w:fill="CCCCCC"/>
            <w:vAlign w:val="center"/>
          </w:tcPr>
          <w:p>
            <w:pPr>
              <w:snapToGrid w:val="0"/>
              <w:jc w:val="center"/>
              <w:rPr>
                <w:rFonts w:ascii="宋体" w:hAnsi="宋体" w:cs="宋体"/>
                <w:b/>
                <w:sz w:val="18"/>
                <w:szCs w:val="18"/>
                <w:highlight w:val="none"/>
              </w:rPr>
            </w:pPr>
            <w:r>
              <w:rPr>
                <w:rFonts w:hint="eastAsia" w:ascii="宋体" w:hAnsi="宋体" w:cs="宋体"/>
                <w:b/>
                <w:sz w:val="18"/>
                <w:szCs w:val="18"/>
                <w:highlight w:val="none"/>
              </w:rPr>
              <w:t>实质性响应磋商文件</w:t>
            </w:r>
          </w:p>
        </w:tc>
        <w:tc>
          <w:tcPr>
            <w:tcW w:w="900" w:type="dxa"/>
            <w:shd w:val="clear" w:color="auto" w:fill="CCCCCC"/>
            <w:vAlign w:val="center"/>
          </w:tcPr>
          <w:p>
            <w:pPr>
              <w:snapToGrid w:val="0"/>
              <w:jc w:val="center"/>
              <w:rPr>
                <w:rFonts w:ascii="宋体" w:hAnsi="宋体" w:cs="宋体"/>
                <w:b/>
                <w:sz w:val="18"/>
                <w:szCs w:val="18"/>
                <w:highlight w:val="none"/>
              </w:rPr>
            </w:pPr>
            <w:r>
              <w:rPr>
                <w:rFonts w:hint="eastAsia" w:ascii="宋体" w:hAnsi="宋体" w:cs="宋体"/>
                <w:b/>
                <w:sz w:val="18"/>
                <w:szCs w:val="18"/>
                <w:highlight w:val="none"/>
              </w:rPr>
              <w:t>是否合格进入下一阶段评议</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1</w:t>
            </w:r>
          </w:p>
        </w:tc>
        <w:tc>
          <w:tcPr>
            <w:tcW w:w="3350" w:type="dxa"/>
          </w:tcPr>
          <w:p>
            <w:pPr>
              <w:snapToGrid w:val="0"/>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1192" w:type="dxa"/>
            <w:vAlign w:val="center"/>
          </w:tcPr>
          <w:p>
            <w:pPr>
              <w:jc w:val="center"/>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2</w:t>
            </w:r>
          </w:p>
        </w:tc>
        <w:tc>
          <w:tcPr>
            <w:tcW w:w="3350"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1192"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3</w:t>
            </w:r>
          </w:p>
        </w:tc>
        <w:tc>
          <w:tcPr>
            <w:tcW w:w="3350"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1192"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4</w:t>
            </w:r>
          </w:p>
        </w:tc>
        <w:tc>
          <w:tcPr>
            <w:tcW w:w="3350"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1192"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bl>
    <w:p>
      <w:pPr>
        <w:spacing w:line="320" w:lineRule="exact"/>
        <w:rPr>
          <w:rFonts w:ascii="宋体" w:hAnsi="宋体"/>
          <w:szCs w:val="21"/>
          <w:highlight w:val="none"/>
        </w:rPr>
      </w:pPr>
      <w:r>
        <w:rPr>
          <w:rFonts w:hint="eastAsia" w:ascii="宋体" w:hAnsi="宋体"/>
          <w:szCs w:val="21"/>
          <w:highlight w:val="none"/>
        </w:rPr>
        <w:t>备注：1、每一项目符合的打“○”，不符合的打“×”。</w:t>
      </w:r>
    </w:p>
    <w:p>
      <w:pPr>
        <w:spacing w:line="320" w:lineRule="exact"/>
        <w:ind w:firstLine="630"/>
        <w:rPr>
          <w:rFonts w:ascii="宋体" w:hAnsi="宋体"/>
          <w:szCs w:val="21"/>
          <w:highlight w:val="none"/>
        </w:rPr>
      </w:pPr>
      <w:bookmarkStart w:id="71" w:name="_Toc11678"/>
      <w:r>
        <w:rPr>
          <w:rFonts w:hint="eastAsia" w:ascii="宋体" w:hAnsi="宋体"/>
          <w:szCs w:val="21"/>
          <w:highlight w:val="none"/>
        </w:rPr>
        <w:t>2、表中全部条件满足为通过</w:t>
      </w:r>
      <w:r>
        <w:rPr>
          <w:rFonts w:ascii="宋体" w:hAnsi="宋体"/>
          <w:szCs w:val="21"/>
          <w:highlight w:val="none"/>
        </w:rPr>
        <w:t>,</w:t>
      </w:r>
      <w:r>
        <w:rPr>
          <w:rFonts w:hint="eastAsia" w:ascii="宋体" w:hAnsi="宋体"/>
          <w:szCs w:val="21"/>
          <w:highlight w:val="none"/>
        </w:rPr>
        <w:t xml:space="preserve"> 同意进入下一阶段评议。</w:t>
      </w:r>
      <w:bookmarkEnd w:id="71"/>
    </w:p>
    <w:p>
      <w:pPr>
        <w:spacing w:line="320" w:lineRule="exact"/>
        <w:ind w:right="191" w:rightChars="91" w:firstLine="630" w:firstLineChars="300"/>
        <w:rPr>
          <w:highlight w:val="none"/>
        </w:rPr>
      </w:pPr>
      <w:bookmarkStart w:id="72" w:name="_Toc27085"/>
      <w:r>
        <w:rPr>
          <w:rFonts w:hint="eastAsia"/>
          <w:highlight w:val="none"/>
        </w:rPr>
        <w:t>3、是否同意进入下一阶段评议一栏中应写 “是”或“否”。</w:t>
      </w:r>
      <w:bookmarkEnd w:id="72"/>
    </w:p>
    <w:p>
      <w:pPr>
        <w:pStyle w:val="30"/>
        <w:rPr>
          <w:rFonts w:ascii="Times New Roman" w:hAnsi="Times New Roman" w:eastAsia="宋体"/>
          <w:bCs w:val="0"/>
          <w:sz w:val="21"/>
          <w:szCs w:val="20"/>
          <w:highlight w:val="none"/>
        </w:rPr>
      </w:pPr>
      <w:r>
        <w:rPr>
          <w:rFonts w:hint="eastAsia" w:ascii="Times New Roman" w:hAnsi="Times New Roman" w:eastAsia="宋体"/>
          <w:bCs w:val="0"/>
          <w:sz w:val="21"/>
          <w:szCs w:val="20"/>
          <w:highlight w:val="none"/>
        </w:rPr>
        <w:t>评委签名：</w:t>
      </w:r>
    </w:p>
    <w:p>
      <w:pPr>
        <w:rPr>
          <w:rFonts w:ascii="宋体" w:hAnsi="宋体"/>
          <w:szCs w:val="21"/>
          <w:highlight w:val="none"/>
        </w:rPr>
      </w:pPr>
      <w:r>
        <w:rPr>
          <w:rFonts w:hint="eastAsia"/>
          <w:highlight w:val="none"/>
        </w:rPr>
        <w:t>日        期：</w:t>
      </w:r>
    </w:p>
    <w:p>
      <w:pPr>
        <w:ind w:right="191" w:rightChars="91"/>
        <w:rPr>
          <w:rFonts w:ascii="宋体" w:hAnsi="宋体"/>
          <w:szCs w:val="21"/>
          <w:highlight w:val="none"/>
        </w:rPr>
      </w:pPr>
      <w:bookmarkStart w:id="73" w:name="_Toc20599"/>
      <w:bookmarkStart w:id="74" w:name="_Toc12501_WPSOffice_Level2"/>
    </w:p>
    <w:p>
      <w:pPr>
        <w:pStyle w:val="2"/>
        <w:rPr>
          <w:rFonts w:ascii="宋体" w:hAnsi="宋体"/>
          <w:szCs w:val="21"/>
          <w:highlight w:val="none"/>
        </w:rPr>
      </w:pPr>
    </w:p>
    <w:p>
      <w:pPr>
        <w:pStyle w:val="56"/>
        <w:rPr>
          <w:rFonts w:hAnsi="宋体"/>
          <w:color w:val="auto"/>
          <w:szCs w:val="21"/>
          <w:highlight w:val="none"/>
        </w:rPr>
      </w:pPr>
    </w:p>
    <w:p>
      <w:pPr>
        <w:ind w:right="191" w:rightChars="91"/>
        <w:rPr>
          <w:rFonts w:hint="eastAsia" w:ascii="宋体" w:hAnsi="宋体"/>
          <w:szCs w:val="21"/>
          <w:highlight w:val="none"/>
        </w:rPr>
      </w:pPr>
      <w:r>
        <w:rPr>
          <w:rFonts w:hint="eastAsia" w:ascii="宋体" w:hAnsi="宋体"/>
          <w:szCs w:val="21"/>
          <w:highlight w:val="none"/>
        </w:rPr>
        <w:t>附表3-2：</w:t>
      </w:r>
      <w:bookmarkEnd w:id="73"/>
      <w:bookmarkEnd w:id="74"/>
    </w:p>
    <w:p>
      <w:pPr>
        <w:jc w:val="center"/>
        <w:rPr>
          <w:szCs w:val="21"/>
          <w:highlight w:val="none"/>
        </w:rPr>
      </w:pPr>
      <w:r>
        <w:rPr>
          <w:rFonts w:hint="eastAsia" w:ascii="宋体" w:hAnsi="宋体"/>
          <w:b/>
          <w:sz w:val="28"/>
          <w:szCs w:val="28"/>
          <w:highlight w:val="none"/>
        </w:rPr>
        <w:t>商务技术评分表</w:t>
      </w:r>
    </w:p>
    <w:p>
      <w:pPr>
        <w:ind w:right="191" w:rightChars="91"/>
        <w:rPr>
          <w:rFonts w:hint="eastAsia" w:ascii="宋体" w:hAnsi="宋体"/>
          <w:szCs w:val="21"/>
          <w:highlight w:val="none"/>
        </w:rPr>
      </w:pPr>
    </w:p>
    <w:tbl>
      <w:tblPr>
        <w:tblStyle w:val="41"/>
        <w:tblW w:w="1456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524"/>
        <w:gridCol w:w="709"/>
        <w:gridCol w:w="11020"/>
        <w:gridCol w:w="88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noWrap w:val="0"/>
            <w:vAlign w:val="center"/>
          </w:tcPr>
          <w:p>
            <w:pPr>
              <w:widowControl w:val="0"/>
              <w:spacing w:line="360" w:lineRule="auto"/>
              <w:jc w:val="center"/>
              <w:rPr>
                <w:b/>
                <w:highlight w:val="none"/>
              </w:rPr>
            </w:pPr>
            <w:r>
              <w:rPr>
                <w:rFonts w:hint="eastAsia"/>
                <w:b/>
                <w:highlight w:val="none"/>
              </w:rPr>
              <w:t>序号</w:t>
            </w:r>
          </w:p>
        </w:tc>
        <w:tc>
          <w:tcPr>
            <w:tcW w:w="1524" w:type="dxa"/>
            <w:noWrap w:val="0"/>
            <w:vAlign w:val="center"/>
          </w:tcPr>
          <w:p>
            <w:pPr>
              <w:widowControl w:val="0"/>
              <w:spacing w:line="360" w:lineRule="auto"/>
              <w:jc w:val="center"/>
              <w:rPr>
                <w:highlight w:val="none"/>
              </w:rPr>
            </w:pPr>
            <w:r>
              <w:rPr>
                <w:rFonts w:hint="eastAsia"/>
                <w:b/>
                <w:highlight w:val="none"/>
              </w:rPr>
              <w:t>评审项目</w:t>
            </w:r>
          </w:p>
        </w:tc>
        <w:tc>
          <w:tcPr>
            <w:tcW w:w="709" w:type="dxa"/>
            <w:noWrap w:val="0"/>
            <w:vAlign w:val="center"/>
          </w:tcPr>
          <w:p>
            <w:pPr>
              <w:widowControl w:val="0"/>
              <w:spacing w:line="360" w:lineRule="auto"/>
              <w:jc w:val="center"/>
              <w:rPr>
                <w:b/>
                <w:highlight w:val="none"/>
              </w:rPr>
            </w:pPr>
            <w:r>
              <w:rPr>
                <w:rFonts w:hint="eastAsia"/>
                <w:b/>
                <w:highlight w:val="none"/>
              </w:rPr>
              <w:t>分配</w:t>
            </w:r>
          </w:p>
          <w:p>
            <w:pPr>
              <w:widowControl w:val="0"/>
              <w:spacing w:line="360" w:lineRule="auto"/>
              <w:jc w:val="center"/>
              <w:rPr>
                <w:highlight w:val="none"/>
              </w:rPr>
            </w:pPr>
            <w:r>
              <w:rPr>
                <w:rFonts w:hint="eastAsia"/>
                <w:b/>
                <w:highlight w:val="none"/>
              </w:rPr>
              <w:t>分数</w:t>
            </w:r>
          </w:p>
        </w:tc>
        <w:tc>
          <w:tcPr>
            <w:tcW w:w="11020" w:type="dxa"/>
            <w:noWrap w:val="0"/>
            <w:vAlign w:val="center"/>
          </w:tcPr>
          <w:p>
            <w:pPr>
              <w:widowControl w:val="0"/>
              <w:spacing w:line="360" w:lineRule="auto"/>
              <w:jc w:val="center"/>
              <w:rPr>
                <w:highlight w:val="none"/>
              </w:rPr>
            </w:pPr>
            <w:r>
              <w:rPr>
                <w:rFonts w:ascii="宋体" w:hAnsi="宋体"/>
                <w:b/>
                <w:highlight w:val="none"/>
              </w:rPr>
              <w:t>评议内容及评分</w:t>
            </w:r>
          </w:p>
        </w:tc>
        <w:tc>
          <w:tcPr>
            <w:tcW w:w="886" w:type="dxa"/>
            <w:noWrap w:val="0"/>
            <w:vAlign w:val="center"/>
          </w:tcPr>
          <w:p>
            <w:pPr>
              <w:widowControl w:val="0"/>
              <w:spacing w:line="360" w:lineRule="auto"/>
              <w:jc w:val="center"/>
              <w:rPr>
                <w:highlight w:val="none"/>
              </w:rPr>
            </w:pPr>
            <w:r>
              <w:rPr>
                <w:rFonts w:ascii="宋体" w:hAnsi="宋体"/>
                <w:b/>
                <w:highlight w:val="none"/>
              </w:rPr>
              <w:t>报价人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jc w:val="center"/>
        </w:trPr>
        <w:tc>
          <w:tcPr>
            <w:tcW w:w="427" w:type="dxa"/>
            <w:noWrap w:val="0"/>
            <w:vAlign w:val="center"/>
          </w:tcPr>
          <w:p>
            <w:pPr>
              <w:widowControl w:val="0"/>
              <w:spacing w:line="360" w:lineRule="auto"/>
              <w:jc w:val="center"/>
              <w:rPr>
                <w:highlight w:val="none"/>
              </w:rPr>
            </w:pPr>
            <w:r>
              <w:rPr>
                <w:highlight w:val="none"/>
              </w:rPr>
              <w:t>1</w:t>
            </w:r>
          </w:p>
        </w:tc>
        <w:tc>
          <w:tcPr>
            <w:tcW w:w="1524" w:type="dxa"/>
            <w:noWrap w:val="0"/>
            <w:vAlign w:val="center"/>
          </w:tcPr>
          <w:p>
            <w:pPr>
              <w:widowControl w:val="0"/>
              <w:spacing w:line="360" w:lineRule="auto"/>
              <w:jc w:val="center"/>
              <w:rPr>
                <w:highlight w:val="none"/>
              </w:rPr>
            </w:pPr>
            <w:r>
              <w:rPr>
                <w:rFonts w:hint="eastAsia"/>
                <w:highlight w:val="none"/>
              </w:rPr>
              <w:t>响应程度</w:t>
            </w:r>
          </w:p>
        </w:tc>
        <w:tc>
          <w:tcPr>
            <w:tcW w:w="709" w:type="dxa"/>
            <w:noWrap w:val="0"/>
            <w:vAlign w:val="center"/>
          </w:tcPr>
          <w:p>
            <w:pPr>
              <w:widowControl w:val="0"/>
              <w:spacing w:line="360" w:lineRule="auto"/>
              <w:jc w:val="center"/>
              <w:rPr>
                <w:highlight w:val="none"/>
              </w:rPr>
            </w:pPr>
            <w:r>
              <w:rPr>
                <w:rFonts w:hint="eastAsia"/>
                <w:highlight w:val="none"/>
              </w:rPr>
              <w:t>12</w:t>
            </w:r>
          </w:p>
        </w:tc>
        <w:tc>
          <w:tcPr>
            <w:tcW w:w="11020" w:type="dxa"/>
            <w:noWrap w:val="0"/>
            <w:vAlign w:val="center"/>
          </w:tcPr>
          <w:p>
            <w:pPr>
              <w:widowControl w:val="0"/>
              <w:spacing w:line="360" w:lineRule="auto"/>
              <w:jc w:val="both"/>
              <w:rPr>
                <w:highlight w:val="none"/>
              </w:rPr>
            </w:pPr>
            <w:r>
              <w:rPr>
                <w:rFonts w:hint="eastAsia"/>
                <w:highlight w:val="none"/>
              </w:rPr>
              <w:t>对磋商文件用户需求书各要求的响应情况进行评审：</w:t>
            </w:r>
          </w:p>
          <w:p>
            <w:pPr>
              <w:widowControl w:val="0"/>
              <w:spacing w:line="360" w:lineRule="auto"/>
              <w:jc w:val="both"/>
              <w:rPr>
                <w:rFonts w:hint="eastAsia"/>
                <w:highlight w:val="none"/>
              </w:rPr>
            </w:pPr>
            <w:r>
              <w:rPr>
                <w:rFonts w:hint="eastAsia"/>
                <w:highlight w:val="none"/>
              </w:rPr>
              <w:t>1.响应文件完整，结构合理，内容且有逻辑性，响应内容全面、具体、准确；得12分；</w:t>
            </w:r>
          </w:p>
          <w:p>
            <w:pPr>
              <w:widowControl w:val="0"/>
              <w:spacing w:line="360" w:lineRule="auto"/>
              <w:jc w:val="both"/>
              <w:rPr>
                <w:rFonts w:hint="eastAsia"/>
                <w:highlight w:val="none"/>
              </w:rPr>
            </w:pPr>
            <w:r>
              <w:rPr>
                <w:rFonts w:hint="eastAsia"/>
                <w:highlight w:val="none"/>
              </w:rPr>
              <w:t>2.响应文件完整，结构合理，内容且有逻辑性，响应内容较全面、具体、准确；得9分；</w:t>
            </w:r>
          </w:p>
          <w:p>
            <w:pPr>
              <w:widowControl w:val="0"/>
              <w:spacing w:line="360" w:lineRule="auto"/>
              <w:jc w:val="both"/>
              <w:rPr>
                <w:highlight w:val="none"/>
              </w:rPr>
            </w:pPr>
            <w:r>
              <w:rPr>
                <w:rFonts w:hint="eastAsia"/>
                <w:highlight w:val="none"/>
              </w:rPr>
              <w:t xml:space="preserve">3.响应文件不太合理，结构不太合理，响应内容不太全面、具体；得6分；   </w:t>
            </w:r>
          </w:p>
          <w:p>
            <w:pPr>
              <w:widowControl w:val="0"/>
              <w:spacing w:line="360" w:lineRule="auto"/>
              <w:jc w:val="both"/>
              <w:rPr>
                <w:rFonts w:hint="eastAsia"/>
                <w:highlight w:val="none"/>
              </w:rPr>
            </w:pPr>
            <w:r>
              <w:rPr>
                <w:rFonts w:hint="eastAsia"/>
                <w:highlight w:val="none"/>
              </w:rPr>
              <w:t>4.响应文件内容顺序混乱，响应内容不全面、表达模糊；得2分。</w:t>
            </w:r>
          </w:p>
        </w:tc>
        <w:tc>
          <w:tcPr>
            <w:tcW w:w="886" w:type="dxa"/>
            <w:noWrap w:val="0"/>
            <w:vAlign w:val="center"/>
          </w:tcPr>
          <w:p>
            <w:pPr>
              <w:widowControl w:val="0"/>
              <w:spacing w:line="360" w:lineRule="auto"/>
              <w:jc w:val="both"/>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427" w:type="dxa"/>
            <w:noWrap w:val="0"/>
            <w:vAlign w:val="center"/>
          </w:tcPr>
          <w:p>
            <w:pPr>
              <w:widowControl w:val="0"/>
              <w:spacing w:line="360" w:lineRule="auto"/>
              <w:jc w:val="center"/>
              <w:rPr>
                <w:rFonts w:hint="eastAsia"/>
                <w:highlight w:val="none"/>
              </w:rPr>
            </w:pPr>
            <w:r>
              <w:rPr>
                <w:rFonts w:hint="eastAsia"/>
                <w:highlight w:val="none"/>
              </w:rPr>
              <w:t>2</w:t>
            </w:r>
          </w:p>
        </w:tc>
        <w:tc>
          <w:tcPr>
            <w:tcW w:w="1524" w:type="dxa"/>
            <w:noWrap w:val="0"/>
            <w:vAlign w:val="center"/>
          </w:tcPr>
          <w:p>
            <w:pPr>
              <w:spacing w:line="360" w:lineRule="auto"/>
              <w:jc w:val="center"/>
              <w:rPr>
                <w:rFonts w:hint="eastAsia"/>
                <w:highlight w:val="none"/>
              </w:rPr>
            </w:pPr>
            <w:r>
              <w:rPr>
                <w:rFonts w:hint="eastAsia"/>
                <w:highlight w:val="none"/>
              </w:rPr>
              <w:t>企业认证</w:t>
            </w:r>
          </w:p>
        </w:tc>
        <w:tc>
          <w:tcPr>
            <w:tcW w:w="709" w:type="dxa"/>
            <w:noWrap w:val="0"/>
            <w:vAlign w:val="center"/>
          </w:tcPr>
          <w:p>
            <w:pPr>
              <w:widowControl w:val="0"/>
              <w:spacing w:line="360" w:lineRule="auto"/>
              <w:jc w:val="center"/>
              <w:rPr>
                <w:rFonts w:hint="eastAsia"/>
                <w:highlight w:val="none"/>
              </w:rPr>
            </w:pPr>
            <w:r>
              <w:rPr>
                <w:rFonts w:hint="eastAsia"/>
                <w:highlight w:val="none"/>
              </w:rPr>
              <w:t>6</w:t>
            </w:r>
          </w:p>
        </w:tc>
        <w:tc>
          <w:tcPr>
            <w:tcW w:w="11020" w:type="dxa"/>
            <w:noWrap w:val="0"/>
            <w:vAlign w:val="center"/>
          </w:tcPr>
          <w:p>
            <w:pPr>
              <w:spacing w:line="360" w:lineRule="auto"/>
              <w:rPr>
                <w:rFonts w:hint="eastAsia"/>
                <w:highlight w:val="none"/>
              </w:rPr>
            </w:pPr>
            <w:r>
              <w:rPr>
                <w:rFonts w:hint="eastAsia"/>
                <w:highlight w:val="none"/>
              </w:rPr>
              <w:t>具有全国认证认可信息平台备案认可且有效的质量管理体系认证证书、环境管理体系认证证书、职业健康安全管理体系认证证书的，每项得2分，本项最高得6分。</w:t>
            </w:r>
            <w:r>
              <w:rPr>
                <w:rFonts w:hint="eastAsia"/>
                <w:b/>
                <w:bCs/>
                <w:highlight w:val="none"/>
              </w:rPr>
              <w:t>注：响应文件中同时提供证书复印件和全国认证认可信息公共服务平台网页截图，证书的有效性以网站公布的网页截图为准，上述资料均需加盖供应商公章，未按要求提供证明文件的不得分。</w:t>
            </w: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427" w:type="dxa"/>
            <w:noWrap w:val="0"/>
            <w:vAlign w:val="center"/>
          </w:tcPr>
          <w:p>
            <w:pPr>
              <w:widowControl w:val="0"/>
              <w:spacing w:line="360" w:lineRule="auto"/>
              <w:jc w:val="center"/>
              <w:rPr>
                <w:rFonts w:hint="eastAsia"/>
                <w:highlight w:val="none"/>
              </w:rPr>
            </w:pPr>
            <w:r>
              <w:rPr>
                <w:rFonts w:hint="eastAsia"/>
                <w:highlight w:val="none"/>
              </w:rPr>
              <w:t>3</w:t>
            </w:r>
          </w:p>
        </w:tc>
        <w:tc>
          <w:tcPr>
            <w:tcW w:w="1524" w:type="dxa"/>
            <w:vMerge w:val="restart"/>
            <w:noWrap w:val="0"/>
            <w:vAlign w:val="center"/>
          </w:tcPr>
          <w:p>
            <w:pPr>
              <w:widowControl w:val="0"/>
              <w:spacing w:line="360" w:lineRule="auto"/>
              <w:jc w:val="center"/>
              <w:rPr>
                <w:highlight w:val="none"/>
              </w:rPr>
            </w:pPr>
            <w:r>
              <w:rPr>
                <w:rFonts w:hint="eastAsia"/>
                <w:highlight w:val="none"/>
              </w:rPr>
              <w:t>投入人员配置情况（项目负责人不能和技术负责人为同一人）</w:t>
            </w:r>
          </w:p>
          <w:p>
            <w:pPr>
              <w:widowControl w:val="0"/>
              <w:spacing w:line="360" w:lineRule="auto"/>
              <w:jc w:val="center"/>
              <w:rPr>
                <w:highlight w:val="none"/>
              </w:rPr>
            </w:pPr>
          </w:p>
        </w:tc>
        <w:tc>
          <w:tcPr>
            <w:tcW w:w="709" w:type="dxa"/>
            <w:noWrap w:val="0"/>
            <w:vAlign w:val="center"/>
          </w:tcPr>
          <w:p>
            <w:pPr>
              <w:widowControl w:val="0"/>
              <w:spacing w:line="360" w:lineRule="auto"/>
              <w:jc w:val="center"/>
              <w:rPr>
                <w:rFonts w:hint="eastAsia"/>
                <w:highlight w:val="none"/>
              </w:rPr>
            </w:pPr>
            <w:r>
              <w:rPr>
                <w:rFonts w:hint="eastAsia"/>
                <w:highlight w:val="none"/>
              </w:rPr>
              <w:t>5</w:t>
            </w:r>
          </w:p>
        </w:tc>
        <w:tc>
          <w:tcPr>
            <w:tcW w:w="11020" w:type="dxa"/>
            <w:noWrap w:val="0"/>
            <w:vAlign w:val="center"/>
          </w:tcPr>
          <w:p>
            <w:pPr>
              <w:widowControl w:val="0"/>
              <w:spacing w:line="360" w:lineRule="auto"/>
              <w:jc w:val="both"/>
              <w:rPr>
                <w:highlight w:val="none"/>
              </w:rPr>
            </w:pPr>
            <w:r>
              <w:rPr>
                <w:rFonts w:hint="eastAsia"/>
                <w:highlight w:val="none"/>
              </w:rPr>
              <w:t>项目负责人要求：</w:t>
            </w:r>
            <w:r>
              <w:rPr>
                <w:rFonts w:hint="eastAsia"/>
                <w:highlight w:val="none"/>
              </w:rPr>
              <w:tab/>
            </w:r>
            <w:r>
              <w:rPr>
                <w:rFonts w:hint="eastAsia"/>
                <w:highlight w:val="none"/>
              </w:rPr>
              <w:tab/>
            </w:r>
            <w:r>
              <w:rPr>
                <w:rFonts w:hint="eastAsia"/>
                <w:highlight w:val="none"/>
              </w:rPr>
              <w:tab/>
            </w:r>
          </w:p>
          <w:p>
            <w:pPr>
              <w:widowControl w:val="0"/>
              <w:numPr>
                <w:ilvl w:val="0"/>
                <w:numId w:val="0"/>
              </w:numPr>
              <w:spacing w:line="360" w:lineRule="auto"/>
              <w:jc w:val="both"/>
              <w:rPr>
                <w:highlight w:val="none"/>
              </w:rPr>
            </w:pPr>
            <w:r>
              <w:rPr>
                <w:rFonts w:hint="eastAsia"/>
                <w:highlight w:val="none"/>
              </w:rPr>
              <w:t>具有市政公用工程专业二级</w:t>
            </w:r>
            <w:r>
              <w:rPr>
                <w:rFonts w:hint="eastAsia"/>
                <w:highlight w:val="none"/>
                <w:lang w:val="en-US" w:eastAsia="zh-CN"/>
              </w:rPr>
              <w:t>或以上</w:t>
            </w:r>
            <w:r>
              <w:rPr>
                <w:rFonts w:hint="eastAsia"/>
                <w:highlight w:val="none"/>
              </w:rPr>
              <w:t>注册建造师资格并具有安全生产考核合格证（B证），得</w:t>
            </w:r>
            <w:r>
              <w:rPr>
                <w:rFonts w:hint="eastAsia"/>
                <w:highlight w:val="none"/>
                <w:lang w:val="en-US" w:eastAsia="zh-CN"/>
              </w:rPr>
              <w:t>5</w:t>
            </w:r>
            <w:r>
              <w:rPr>
                <w:rFonts w:hint="eastAsia"/>
                <w:highlight w:val="none"/>
              </w:rPr>
              <w:t>分。</w:t>
            </w:r>
            <w:r>
              <w:rPr>
                <w:rFonts w:hint="eastAsia"/>
                <w:highlight w:val="none"/>
              </w:rPr>
              <w:tab/>
            </w:r>
            <w:r>
              <w:rPr>
                <w:rFonts w:hint="eastAsia"/>
                <w:highlight w:val="none"/>
              </w:rPr>
              <w:tab/>
            </w:r>
          </w:p>
          <w:p>
            <w:pPr>
              <w:widowControl w:val="0"/>
              <w:spacing w:line="360" w:lineRule="auto"/>
              <w:jc w:val="both"/>
              <w:rPr>
                <w:highlight w:val="none"/>
              </w:rPr>
            </w:pPr>
            <w:r>
              <w:rPr>
                <w:b/>
                <w:bCs/>
                <w:highlight w:val="none"/>
              </w:rPr>
              <w:t>注：</w:t>
            </w:r>
            <w:r>
              <w:rPr>
                <w:rFonts w:hint="eastAsia" w:ascii="宋体" w:hAnsi="宋体" w:cs="宋体"/>
                <w:b/>
                <w:bCs/>
                <w:kern w:val="2"/>
                <w:szCs w:val="21"/>
                <w:highlight w:val="none"/>
              </w:rPr>
              <w:t>（1）响应文件提供相关证书复印件加盖公章。（2）提供由供应商为其购买202</w:t>
            </w:r>
            <w:r>
              <w:rPr>
                <w:rFonts w:hint="eastAsia" w:ascii="宋体" w:hAnsi="宋体" w:cs="宋体"/>
                <w:b/>
                <w:bCs/>
                <w:kern w:val="2"/>
                <w:szCs w:val="21"/>
                <w:highlight w:val="none"/>
                <w:lang w:val="en-US" w:eastAsia="zh-CN"/>
              </w:rPr>
              <w:t>3</w:t>
            </w:r>
            <w:r>
              <w:rPr>
                <w:rFonts w:hint="eastAsia" w:ascii="宋体" w:hAnsi="宋体" w:cs="宋体"/>
                <w:b/>
                <w:bCs/>
                <w:kern w:val="2"/>
                <w:szCs w:val="21"/>
                <w:highlight w:val="none"/>
              </w:rPr>
              <w:t>年</w:t>
            </w:r>
            <w:r>
              <w:rPr>
                <w:rFonts w:hint="eastAsia" w:ascii="宋体" w:hAnsi="宋体" w:cs="宋体"/>
                <w:b/>
                <w:bCs/>
                <w:kern w:val="2"/>
                <w:szCs w:val="21"/>
                <w:highlight w:val="none"/>
                <w:lang w:val="en-US" w:eastAsia="zh-CN"/>
              </w:rPr>
              <w:t>12</w:t>
            </w:r>
            <w:r>
              <w:rPr>
                <w:rFonts w:hint="eastAsia" w:ascii="宋体" w:hAnsi="宋体" w:cs="宋体"/>
                <w:b/>
                <w:bCs/>
                <w:kern w:val="2"/>
                <w:szCs w:val="21"/>
                <w:highlight w:val="none"/>
              </w:rPr>
              <w:t>月至202</w:t>
            </w:r>
            <w:r>
              <w:rPr>
                <w:rFonts w:hint="eastAsia" w:ascii="宋体" w:hAnsi="宋体" w:cs="宋体"/>
                <w:b/>
                <w:bCs/>
                <w:kern w:val="2"/>
                <w:szCs w:val="21"/>
                <w:highlight w:val="none"/>
                <w:lang w:val="en-US" w:eastAsia="zh-CN"/>
              </w:rPr>
              <w:t>4</w:t>
            </w:r>
            <w:r>
              <w:rPr>
                <w:rFonts w:hint="eastAsia" w:ascii="宋体" w:hAnsi="宋体" w:cs="宋体"/>
                <w:b/>
                <w:bCs/>
                <w:kern w:val="2"/>
                <w:szCs w:val="21"/>
                <w:highlight w:val="none"/>
              </w:rPr>
              <w:t>年</w:t>
            </w:r>
            <w:r>
              <w:rPr>
                <w:rFonts w:hint="eastAsia" w:ascii="宋体" w:hAnsi="宋体" w:cs="宋体"/>
                <w:b/>
                <w:bCs/>
                <w:kern w:val="2"/>
                <w:szCs w:val="21"/>
                <w:highlight w:val="none"/>
                <w:lang w:val="en-US" w:eastAsia="zh-CN"/>
              </w:rPr>
              <w:t>2</w:t>
            </w:r>
            <w:r>
              <w:rPr>
                <w:rFonts w:hint="eastAsia" w:ascii="宋体" w:hAnsi="宋体" w:cs="宋体"/>
                <w:b/>
                <w:bCs/>
                <w:kern w:val="2"/>
                <w:szCs w:val="21"/>
                <w:highlight w:val="none"/>
              </w:rPr>
              <w:t>月期间连续三个月的社保证明；如供应商未能提供以上人员社保证明的，可以在响应文件中提供《人员承诺函》（须加盖公章，格式自行编制，承诺内容包括但不限于：“若我单位中标（成交），合同签订时保证按响应文件中所配备投入本项目的人员全部到位并提供所有人员的社保证明或劳务合同，否则视为我单位放弃成交资格”）。（3）未按要求提供的不得分。</w:t>
            </w: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427" w:type="dxa"/>
            <w:noWrap w:val="0"/>
            <w:vAlign w:val="center"/>
          </w:tcPr>
          <w:p>
            <w:pPr>
              <w:widowControl w:val="0"/>
              <w:spacing w:line="360" w:lineRule="auto"/>
              <w:jc w:val="center"/>
              <w:rPr>
                <w:rFonts w:hint="eastAsia"/>
                <w:highlight w:val="none"/>
              </w:rPr>
            </w:pPr>
            <w:r>
              <w:rPr>
                <w:rFonts w:hint="eastAsia"/>
                <w:highlight w:val="none"/>
              </w:rPr>
              <w:t>4</w:t>
            </w:r>
          </w:p>
        </w:tc>
        <w:tc>
          <w:tcPr>
            <w:tcW w:w="1524" w:type="dxa"/>
            <w:vMerge w:val="continue"/>
            <w:noWrap w:val="0"/>
            <w:vAlign w:val="center"/>
          </w:tcPr>
          <w:p>
            <w:pPr>
              <w:widowControl w:val="0"/>
              <w:spacing w:line="360" w:lineRule="auto"/>
              <w:jc w:val="center"/>
              <w:rPr>
                <w:highlight w:val="none"/>
              </w:rPr>
            </w:pPr>
          </w:p>
        </w:tc>
        <w:tc>
          <w:tcPr>
            <w:tcW w:w="709" w:type="dxa"/>
            <w:noWrap w:val="0"/>
            <w:vAlign w:val="center"/>
          </w:tcPr>
          <w:p>
            <w:pPr>
              <w:widowControl w:val="0"/>
              <w:spacing w:line="360" w:lineRule="auto"/>
              <w:jc w:val="center"/>
              <w:rPr>
                <w:rFonts w:hint="eastAsia"/>
                <w:highlight w:val="none"/>
              </w:rPr>
            </w:pPr>
            <w:r>
              <w:rPr>
                <w:rFonts w:hint="eastAsia"/>
                <w:highlight w:val="none"/>
              </w:rPr>
              <w:t>5</w:t>
            </w:r>
          </w:p>
        </w:tc>
        <w:tc>
          <w:tcPr>
            <w:tcW w:w="11020" w:type="dxa"/>
            <w:noWrap w:val="0"/>
            <w:vAlign w:val="center"/>
          </w:tcPr>
          <w:p>
            <w:pPr>
              <w:widowControl w:val="0"/>
              <w:spacing w:line="360" w:lineRule="auto"/>
              <w:jc w:val="both"/>
              <w:rPr>
                <w:rFonts w:hint="eastAsia"/>
                <w:highlight w:val="none"/>
                <w:lang w:val="en-US" w:eastAsia="zh-CN"/>
              </w:rPr>
            </w:pPr>
            <w:r>
              <w:rPr>
                <w:rFonts w:hint="eastAsia"/>
                <w:highlight w:val="none"/>
              </w:rPr>
              <w:t>技术负责人</w:t>
            </w:r>
            <w:r>
              <w:rPr>
                <w:rFonts w:hint="eastAsia"/>
                <w:highlight w:val="none"/>
                <w:lang w:val="en-US" w:eastAsia="zh-CN"/>
              </w:rPr>
              <w:t>要求：</w:t>
            </w:r>
          </w:p>
          <w:p>
            <w:pPr>
              <w:widowControl w:val="0"/>
              <w:numPr>
                <w:ilvl w:val="0"/>
                <w:numId w:val="19"/>
              </w:numPr>
              <w:spacing w:line="360" w:lineRule="auto"/>
              <w:jc w:val="both"/>
              <w:rPr>
                <w:highlight w:val="none"/>
              </w:rPr>
            </w:pPr>
            <w:r>
              <w:rPr>
                <w:rFonts w:hint="eastAsia"/>
                <w:highlight w:val="none"/>
              </w:rPr>
              <w:t>具有市政类中级职称的，得3分</w:t>
            </w:r>
            <w:r>
              <w:rPr>
                <w:rFonts w:hint="eastAsia"/>
                <w:highlight w:val="none"/>
                <w:lang w:eastAsia="zh-CN"/>
              </w:rPr>
              <w:t>；</w:t>
            </w:r>
          </w:p>
          <w:p>
            <w:pPr>
              <w:widowControl w:val="0"/>
              <w:numPr>
                <w:ilvl w:val="0"/>
                <w:numId w:val="0"/>
              </w:numPr>
              <w:spacing w:line="360" w:lineRule="auto"/>
              <w:jc w:val="both"/>
              <w:rPr>
                <w:highlight w:val="none"/>
              </w:rPr>
            </w:pPr>
            <w:r>
              <w:rPr>
                <w:rFonts w:hint="eastAsia"/>
                <w:highlight w:val="none"/>
                <w:lang w:val="en-US" w:eastAsia="zh-CN"/>
              </w:rPr>
              <w:t>2、</w:t>
            </w:r>
            <w:r>
              <w:rPr>
                <w:rFonts w:hint="eastAsia"/>
                <w:highlight w:val="none"/>
              </w:rPr>
              <w:t>具有市政类高级或以上职称的，得5分。</w:t>
            </w:r>
            <w:r>
              <w:rPr>
                <w:highlight w:val="none"/>
              </w:rPr>
              <w:tab/>
            </w:r>
          </w:p>
          <w:p>
            <w:pPr>
              <w:widowControl w:val="0"/>
              <w:spacing w:line="360" w:lineRule="auto"/>
              <w:jc w:val="both"/>
              <w:rPr>
                <w:b/>
                <w:highlight w:val="none"/>
              </w:rPr>
            </w:pPr>
            <w:r>
              <w:rPr>
                <w:b/>
                <w:bCs/>
                <w:highlight w:val="none"/>
              </w:rPr>
              <w:t>注：</w:t>
            </w:r>
            <w:r>
              <w:rPr>
                <w:rFonts w:hint="eastAsia" w:ascii="宋体" w:hAnsi="宋体" w:cs="宋体"/>
                <w:b/>
                <w:bCs/>
                <w:kern w:val="2"/>
                <w:szCs w:val="21"/>
                <w:highlight w:val="none"/>
              </w:rPr>
              <w:t>（1）响应文件提供相关证书复印件加盖公章。（2）提供由供应商为其购买202</w:t>
            </w:r>
            <w:r>
              <w:rPr>
                <w:rFonts w:hint="eastAsia" w:ascii="宋体" w:hAnsi="宋体" w:cs="宋体"/>
                <w:b/>
                <w:bCs/>
                <w:kern w:val="2"/>
                <w:szCs w:val="21"/>
                <w:highlight w:val="none"/>
                <w:lang w:val="en-US" w:eastAsia="zh-CN"/>
              </w:rPr>
              <w:t>3</w:t>
            </w:r>
            <w:r>
              <w:rPr>
                <w:rFonts w:hint="eastAsia" w:ascii="宋体" w:hAnsi="宋体" w:cs="宋体"/>
                <w:b/>
                <w:bCs/>
                <w:kern w:val="2"/>
                <w:szCs w:val="21"/>
                <w:highlight w:val="none"/>
              </w:rPr>
              <w:t>年</w:t>
            </w:r>
            <w:r>
              <w:rPr>
                <w:rFonts w:hint="eastAsia" w:ascii="宋体" w:hAnsi="宋体" w:cs="宋体"/>
                <w:b/>
                <w:bCs/>
                <w:kern w:val="2"/>
                <w:szCs w:val="21"/>
                <w:highlight w:val="none"/>
                <w:lang w:val="en-US" w:eastAsia="zh-CN"/>
              </w:rPr>
              <w:t>12</w:t>
            </w:r>
            <w:r>
              <w:rPr>
                <w:rFonts w:hint="eastAsia" w:ascii="宋体" w:hAnsi="宋体" w:cs="宋体"/>
                <w:b/>
                <w:bCs/>
                <w:kern w:val="2"/>
                <w:szCs w:val="21"/>
                <w:highlight w:val="none"/>
              </w:rPr>
              <w:t>月至202</w:t>
            </w:r>
            <w:r>
              <w:rPr>
                <w:rFonts w:hint="eastAsia" w:ascii="宋体" w:hAnsi="宋体" w:cs="宋体"/>
                <w:b/>
                <w:bCs/>
                <w:kern w:val="2"/>
                <w:szCs w:val="21"/>
                <w:highlight w:val="none"/>
                <w:lang w:val="en-US" w:eastAsia="zh-CN"/>
              </w:rPr>
              <w:t>4</w:t>
            </w:r>
            <w:r>
              <w:rPr>
                <w:rFonts w:hint="eastAsia" w:ascii="宋体" w:hAnsi="宋体" w:cs="宋体"/>
                <w:b/>
                <w:bCs/>
                <w:kern w:val="2"/>
                <w:szCs w:val="21"/>
                <w:highlight w:val="none"/>
              </w:rPr>
              <w:t>年</w:t>
            </w:r>
            <w:r>
              <w:rPr>
                <w:rFonts w:hint="eastAsia" w:ascii="宋体" w:hAnsi="宋体" w:cs="宋体"/>
                <w:b/>
                <w:bCs/>
                <w:kern w:val="2"/>
                <w:szCs w:val="21"/>
                <w:highlight w:val="none"/>
                <w:lang w:val="en-US" w:eastAsia="zh-CN"/>
              </w:rPr>
              <w:t>2</w:t>
            </w:r>
            <w:r>
              <w:rPr>
                <w:rFonts w:hint="eastAsia" w:ascii="宋体" w:hAnsi="宋体" w:cs="宋体"/>
                <w:b/>
                <w:bCs/>
                <w:kern w:val="2"/>
                <w:szCs w:val="21"/>
                <w:highlight w:val="none"/>
              </w:rPr>
              <w:t>月期间连续三个月的社保证明；如供应商未能提供以上人员社保证明的，可以在响应文件中提供《人员承诺函》（须加盖公章，格式自行编制，承诺内容包括但不限于：“若我单位中标（成交），合同签订时保证按响应文件中所配备投入本项目的人员全部到位并提供所有人员的社保证明或劳务合同，否则视为我单位放弃成交资格”）。 （3）未按要求提供的不得分。</w:t>
            </w: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55" w:hRule="atLeast"/>
          <w:jc w:val="center"/>
        </w:trPr>
        <w:tc>
          <w:tcPr>
            <w:tcW w:w="427" w:type="dxa"/>
            <w:noWrap w:val="0"/>
            <w:vAlign w:val="center"/>
          </w:tcPr>
          <w:p>
            <w:pPr>
              <w:widowControl w:val="0"/>
              <w:spacing w:line="360" w:lineRule="auto"/>
              <w:jc w:val="center"/>
              <w:rPr>
                <w:highlight w:val="none"/>
              </w:rPr>
            </w:pPr>
            <w:r>
              <w:rPr>
                <w:rFonts w:hint="eastAsia"/>
                <w:highlight w:val="none"/>
              </w:rPr>
              <w:t>5</w:t>
            </w:r>
          </w:p>
        </w:tc>
        <w:tc>
          <w:tcPr>
            <w:tcW w:w="1524" w:type="dxa"/>
            <w:vMerge w:val="continue"/>
            <w:noWrap w:val="0"/>
            <w:vAlign w:val="center"/>
          </w:tcPr>
          <w:p>
            <w:pPr>
              <w:widowControl w:val="0"/>
              <w:spacing w:line="360" w:lineRule="auto"/>
              <w:jc w:val="center"/>
              <w:rPr>
                <w:rFonts w:hint="eastAsia"/>
                <w:highlight w:val="none"/>
              </w:rPr>
            </w:pPr>
          </w:p>
        </w:tc>
        <w:tc>
          <w:tcPr>
            <w:tcW w:w="709" w:type="dxa"/>
            <w:noWrap w:val="0"/>
            <w:vAlign w:val="center"/>
          </w:tcPr>
          <w:p>
            <w:pPr>
              <w:widowControl w:val="0"/>
              <w:spacing w:line="360" w:lineRule="auto"/>
              <w:jc w:val="center"/>
              <w:rPr>
                <w:highlight w:val="none"/>
              </w:rPr>
            </w:pPr>
            <w:r>
              <w:rPr>
                <w:rFonts w:hint="eastAsia"/>
                <w:highlight w:val="none"/>
              </w:rPr>
              <w:t>11</w:t>
            </w:r>
          </w:p>
        </w:tc>
        <w:tc>
          <w:tcPr>
            <w:tcW w:w="11020" w:type="dxa"/>
            <w:noWrap w:val="0"/>
            <w:vAlign w:val="top"/>
          </w:tcPr>
          <w:p>
            <w:pPr>
              <w:widowControl w:val="0"/>
              <w:numPr>
                <w:ilvl w:val="0"/>
                <w:numId w:val="0"/>
              </w:numPr>
              <w:spacing w:line="360" w:lineRule="auto"/>
              <w:jc w:val="both"/>
              <w:rPr>
                <w:rFonts w:hint="eastAsia"/>
                <w:highlight w:val="none"/>
              </w:rPr>
            </w:pPr>
            <w:r>
              <w:rPr>
                <w:rFonts w:hint="eastAsia"/>
                <w:highlight w:val="none"/>
              </w:rPr>
              <w:t>其他人员要求</w:t>
            </w:r>
            <w:r>
              <w:rPr>
                <w:rFonts w:hint="eastAsia"/>
                <w:highlight w:val="none"/>
                <w:lang w:eastAsia="zh-CN"/>
              </w:rPr>
              <w:t>（</w:t>
            </w:r>
            <w:r>
              <w:rPr>
                <w:rFonts w:hint="eastAsia"/>
                <w:highlight w:val="none"/>
                <w:lang w:val="en-US" w:eastAsia="zh-CN"/>
              </w:rPr>
              <w:t>项目负责人和技术负责人除外</w:t>
            </w:r>
            <w:r>
              <w:rPr>
                <w:rFonts w:hint="eastAsia"/>
                <w:highlight w:val="none"/>
                <w:lang w:eastAsia="zh-CN"/>
              </w:rPr>
              <w:t>）</w:t>
            </w:r>
            <w:r>
              <w:rPr>
                <w:rFonts w:hint="eastAsia"/>
                <w:highlight w:val="none"/>
              </w:rPr>
              <w:t xml:space="preserve">：  </w:t>
            </w:r>
          </w:p>
          <w:p>
            <w:pPr>
              <w:widowControl w:val="0"/>
              <w:numPr>
                <w:ilvl w:val="0"/>
                <w:numId w:val="0"/>
              </w:numPr>
              <w:spacing w:line="360" w:lineRule="auto"/>
              <w:jc w:val="both"/>
              <w:rPr>
                <w:rFonts w:hint="eastAsia"/>
                <w:highlight w:val="none"/>
              </w:rPr>
            </w:pPr>
            <w:r>
              <w:rPr>
                <w:rFonts w:hint="eastAsia" w:cs="Times New Roman"/>
                <w:sz w:val="21"/>
                <w:highlight w:val="none"/>
                <w:lang w:val="en-US" w:eastAsia="zh-CN" w:bidi="ar-SA"/>
              </w:rPr>
              <w:t>1</w:t>
            </w:r>
            <w:r>
              <w:rPr>
                <w:rFonts w:hint="eastAsia" w:ascii="Times New Roman" w:hAnsi="Times New Roman" w:eastAsia="宋体" w:cs="Times New Roman"/>
                <w:sz w:val="21"/>
                <w:highlight w:val="none"/>
                <w:lang w:val="en-US" w:eastAsia="zh-CN" w:bidi="ar-SA"/>
              </w:rPr>
              <w:t>、</w:t>
            </w:r>
            <w:r>
              <w:rPr>
                <w:rFonts w:hint="eastAsia"/>
                <w:highlight w:val="none"/>
              </w:rPr>
              <w:t>具有一级注册造价师资格得5分，具有二级注册造价师资格得3分，</w:t>
            </w:r>
            <w:r>
              <w:rPr>
                <w:rFonts w:hint="eastAsia"/>
                <w:highlight w:val="none"/>
                <w:lang w:val="en-US" w:eastAsia="zh-CN"/>
              </w:rPr>
              <w:t>本项</w:t>
            </w:r>
            <w:r>
              <w:rPr>
                <w:rFonts w:hint="eastAsia"/>
                <w:highlight w:val="none"/>
              </w:rPr>
              <w:t>最高得5分；</w:t>
            </w:r>
          </w:p>
          <w:p>
            <w:pPr>
              <w:widowControl w:val="0"/>
              <w:numPr>
                <w:ilvl w:val="0"/>
                <w:numId w:val="0"/>
              </w:numPr>
              <w:spacing w:line="360" w:lineRule="auto"/>
              <w:jc w:val="both"/>
              <w:rPr>
                <w:rFonts w:hint="eastAsia"/>
                <w:highlight w:val="none"/>
              </w:rPr>
            </w:pPr>
            <w:r>
              <w:rPr>
                <w:rFonts w:hint="eastAsia" w:cs="Times New Roman"/>
                <w:sz w:val="21"/>
                <w:highlight w:val="none"/>
                <w:lang w:val="en-US" w:eastAsia="zh-CN" w:bidi="ar-SA"/>
              </w:rPr>
              <w:t>2</w:t>
            </w:r>
            <w:r>
              <w:rPr>
                <w:rFonts w:hint="eastAsia" w:ascii="Times New Roman" w:hAnsi="Times New Roman" w:eastAsia="宋体" w:cs="Times New Roman"/>
                <w:sz w:val="21"/>
                <w:highlight w:val="none"/>
                <w:lang w:val="en-US" w:eastAsia="zh-CN" w:bidi="ar-SA"/>
              </w:rPr>
              <w:t>、</w:t>
            </w:r>
            <w:r>
              <w:rPr>
                <w:rFonts w:hint="eastAsia"/>
                <w:highlight w:val="none"/>
              </w:rPr>
              <w:t>具有市政类中级或以上职称的得2分</w:t>
            </w:r>
            <w:r>
              <w:rPr>
                <w:rFonts w:hint="eastAsia"/>
                <w:highlight w:val="none"/>
                <w:lang w:eastAsia="zh-CN"/>
              </w:rPr>
              <w:t>，</w:t>
            </w:r>
            <w:r>
              <w:rPr>
                <w:rFonts w:hint="eastAsia"/>
                <w:highlight w:val="none"/>
                <w:lang w:val="en-US" w:eastAsia="zh-CN"/>
              </w:rPr>
              <w:t>本项</w:t>
            </w:r>
            <w:r>
              <w:rPr>
                <w:rFonts w:hint="eastAsia"/>
                <w:highlight w:val="none"/>
              </w:rPr>
              <w:t>最高得</w:t>
            </w:r>
            <w:r>
              <w:rPr>
                <w:rFonts w:hint="eastAsia"/>
                <w:highlight w:val="none"/>
                <w:lang w:val="en-US" w:eastAsia="zh-CN"/>
              </w:rPr>
              <w:t>2</w:t>
            </w:r>
            <w:r>
              <w:rPr>
                <w:rFonts w:hint="eastAsia"/>
                <w:highlight w:val="none"/>
              </w:rPr>
              <w:t>分；</w:t>
            </w:r>
          </w:p>
          <w:p>
            <w:pPr>
              <w:widowControl w:val="0"/>
              <w:numPr>
                <w:ilvl w:val="0"/>
                <w:numId w:val="0"/>
              </w:numPr>
              <w:spacing w:line="360" w:lineRule="auto"/>
              <w:jc w:val="both"/>
              <w:rPr>
                <w:rFonts w:hint="eastAsia"/>
                <w:highlight w:val="none"/>
              </w:rPr>
            </w:pPr>
            <w:r>
              <w:rPr>
                <w:rFonts w:hint="eastAsia" w:cs="Times New Roman"/>
                <w:sz w:val="21"/>
                <w:highlight w:val="none"/>
                <w:lang w:val="en-US" w:eastAsia="zh-CN" w:bidi="ar-SA"/>
              </w:rPr>
              <w:t>3</w:t>
            </w:r>
            <w:r>
              <w:rPr>
                <w:rFonts w:hint="eastAsia" w:ascii="Times New Roman" w:hAnsi="Times New Roman" w:eastAsia="宋体" w:cs="Times New Roman"/>
                <w:sz w:val="21"/>
                <w:highlight w:val="none"/>
                <w:lang w:val="en-US" w:eastAsia="zh-CN" w:bidi="ar-SA"/>
              </w:rPr>
              <w:t>、</w:t>
            </w:r>
            <w:r>
              <w:rPr>
                <w:rFonts w:hint="eastAsia"/>
                <w:highlight w:val="none"/>
              </w:rPr>
              <w:t>具有安全员C类证书得2分</w:t>
            </w:r>
            <w:r>
              <w:rPr>
                <w:rFonts w:hint="eastAsia"/>
                <w:highlight w:val="none"/>
                <w:lang w:eastAsia="zh-CN"/>
              </w:rPr>
              <w:t>，</w:t>
            </w:r>
            <w:r>
              <w:rPr>
                <w:rFonts w:hint="eastAsia"/>
                <w:highlight w:val="none"/>
                <w:lang w:val="en-US" w:eastAsia="zh-CN"/>
              </w:rPr>
              <w:t>本项</w:t>
            </w:r>
            <w:r>
              <w:rPr>
                <w:rFonts w:hint="eastAsia"/>
                <w:highlight w:val="none"/>
              </w:rPr>
              <w:t>最高得</w:t>
            </w:r>
            <w:r>
              <w:rPr>
                <w:rFonts w:hint="eastAsia"/>
                <w:highlight w:val="none"/>
                <w:lang w:val="en-US" w:eastAsia="zh-CN"/>
              </w:rPr>
              <w:t>2</w:t>
            </w:r>
            <w:r>
              <w:rPr>
                <w:rFonts w:hint="eastAsia"/>
                <w:highlight w:val="none"/>
              </w:rPr>
              <w:t>分；</w:t>
            </w:r>
          </w:p>
          <w:p>
            <w:pPr>
              <w:widowControl w:val="0"/>
              <w:numPr>
                <w:ilvl w:val="0"/>
                <w:numId w:val="0"/>
              </w:numPr>
              <w:spacing w:line="360" w:lineRule="auto"/>
              <w:jc w:val="both"/>
              <w:rPr>
                <w:rFonts w:hint="eastAsia"/>
                <w:highlight w:val="none"/>
              </w:rPr>
            </w:pPr>
            <w:r>
              <w:rPr>
                <w:rFonts w:hint="eastAsia" w:cs="Times New Roman"/>
                <w:sz w:val="21"/>
                <w:highlight w:val="none"/>
                <w:lang w:val="en-US" w:eastAsia="zh-CN" w:bidi="ar-SA"/>
              </w:rPr>
              <w:t>4</w:t>
            </w:r>
            <w:r>
              <w:rPr>
                <w:rFonts w:hint="eastAsia" w:ascii="Times New Roman" w:hAnsi="Times New Roman" w:eastAsia="宋体" w:cs="Times New Roman"/>
                <w:sz w:val="21"/>
                <w:highlight w:val="none"/>
                <w:lang w:val="en-US" w:eastAsia="zh-CN" w:bidi="ar-SA"/>
              </w:rPr>
              <w:t>、</w:t>
            </w:r>
            <w:r>
              <w:rPr>
                <w:rFonts w:hint="eastAsia"/>
                <w:highlight w:val="none"/>
              </w:rPr>
              <w:t>具有施工员证书得2分</w:t>
            </w:r>
            <w:r>
              <w:rPr>
                <w:rFonts w:hint="eastAsia"/>
                <w:highlight w:val="none"/>
                <w:lang w:eastAsia="zh-CN"/>
              </w:rPr>
              <w:t>，</w:t>
            </w:r>
            <w:r>
              <w:rPr>
                <w:rFonts w:hint="eastAsia"/>
                <w:highlight w:val="none"/>
                <w:lang w:val="en-US" w:eastAsia="zh-CN"/>
              </w:rPr>
              <w:t>本项</w:t>
            </w:r>
            <w:r>
              <w:rPr>
                <w:rFonts w:hint="eastAsia"/>
                <w:highlight w:val="none"/>
              </w:rPr>
              <w:t>最高得</w:t>
            </w:r>
            <w:r>
              <w:rPr>
                <w:rFonts w:hint="eastAsia"/>
                <w:highlight w:val="none"/>
                <w:lang w:val="en-US" w:eastAsia="zh-CN"/>
              </w:rPr>
              <w:t>2</w:t>
            </w:r>
            <w:r>
              <w:rPr>
                <w:rFonts w:hint="eastAsia"/>
                <w:highlight w:val="none"/>
              </w:rPr>
              <w:t>分。</w:t>
            </w:r>
          </w:p>
          <w:p>
            <w:pPr>
              <w:widowControl w:val="0"/>
              <w:numPr>
                <w:ilvl w:val="0"/>
                <w:numId w:val="0"/>
              </w:numPr>
              <w:spacing w:line="360" w:lineRule="auto"/>
              <w:jc w:val="both"/>
              <w:rPr>
                <w:rFonts w:hint="eastAsia"/>
                <w:highlight w:val="none"/>
              </w:rPr>
            </w:pPr>
            <w:r>
              <w:rPr>
                <w:rFonts w:hint="eastAsia" w:ascii="宋体" w:hAnsi="宋体" w:cs="宋体"/>
                <w:b/>
                <w:bCs/>
                <w:kern w:val="2"/>
                <w:szCs w:val="21"/>
                <w:highlight w:val="none"/>
                <w:lang w:val="en-US" w:eastAsia="zh-CN"/>
              </w:rPr>
              <w:t>注：</w:t>
            </w:r>
            <w:r>
              <w:rPr>
                <w:rFonts w:hint="eastAsia" w:ascii="宋体" w:hAnsi="宋体" w:cs="宋体"/>
                <w:b/>
                <w:bCs/>
                <w:kern w:val="2"/>
                <w:szCs w:val="21"/>
                <w:highlight w:val="none"/>
                <w:lang w:val="en-US" w:eastAsia="zh-CN"/>
              </w:rPr>
              <w:t>（1）同一人员具备多项资格或证书的，不重复计分。</w:t>
            </w:r>
            <w:r>
              <w:rPr>
                <w:rFonts w:hint="eastAsia" w:ascii="宋体" w:hAnsi="宋体" w:cs="宋体"/>
                <w:b/>
                <w:bCs/>
                <w:kern w:val="2"/>
                <w:szCs w:val="21"/>
                <w:highlight w:val="none"/>
                <w:lang w:val="en-US" w:eastAsia="zh-CN"/>
              </w:rPr>
              <w:t xml:space="preserve">（2）响应文件提供相关证书复印件加盖公章。（3）提供由供应商为其购买2023年12月至2024年2月期间连续三个月的社保证明；如供应商未能提供以上人员社保证明的，可以在响应文件中提供《人员承诺函》（须加盖公章，格式自行编制，承诺内容包括但不限于：“若我单位中标（成交），合同签订时保证按响应文件中所配备投入本项目的人员全部到位并提供所有人员的社保证明或劳务合同，否则视为我单位放弃成交资格”）。（4）未按要求提供的不得分。 </w:t>
            </w:r>
            <w:r>
              <w:rPr>
                <w:rFonts w:hint="eastAsia"/>
                <w:highlight w:val="none"/>
                <w:lang w:val="en-US" w:eastAsia="zh-CN"/>
              </w:rPr>
              <w:t xml:space="preserve">  </w:t>
            </w:r>
            <w:r>
              <w:rPr>
                <w:rFonts w:hint="eastAsia"/>
                <w:highlight w:val="none"/>
              </w:rPr>
              <w:t xml:space="preserve">                        </w:t>
            </w:r>
          </w:p>
          <w:p>
            <w:pPr>
              <w:pStyle w:val="21"/>
              <w:jc w:val="both"/>
              <w:rPr>
                <w:highlight w:val="none"/>
              </w:rPr>
            </w:pP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427" w:type="dxa"/>
            <w:noWrap w:val="0"/>
            <w:vAlign w:val="center"/>
          </w:tcPr>
          <w:p>
            <w:pPr>
              <w:widowControl w:val="0"/>
              <w:spacing w:line="360" w:lineRule="auto"/>
              <w:jc w:val="center"/>
              <w:rPr>
                <w:rFonts w:hint="eastAsia" w:eastAsia="宋体"/>
                <w:highlight w:val="none"/>
                <w:lang w:eastAsia="zh-CN"/>
              </w:rPr>
            </w:pPr>
            <w:r>
              <w:rPr>
                <w:rFonts w:hint="eastAsia"/>
                <w:highlight w:val="none"/>
                <w:lang w:val="en-US" w:eastAsia="zh-CN"/>
              </w:rPr>
              <w:t>6</w:t>
            </w:r>
          </w:p>
        </w:tc>
        <w:tc>
          <w:tcPr>
            <w:tcW w:w="1524" w:type="dxa"/>
            <w:noWrap w:val="0"/>
            <w:vAlign w:val="center"/>
          </w:tcPr>
          <w:p>
            <w:pPr>
              <w:widowControl w:val="0"/>
              <w:spacing w:line="360" w:lineRule="auto"/>
              <w:jc w:val="center"/>
              <w:rPr>
                <w:rFonts w:hint="eastAsia"/>
                <w:highlight w:val="none"/>
              </w:rPr>
            </w:pPr>
            <w:r>
              <w:rPr>
                <w:rFonts w:hint="eastAsia"/>
                <w:highlight w:val="none"/>
              </w:rPr>
              <w:t>业绩</w:t>
            </w:r>
          </w:p>
        </w:tc>
        <w:tc>
          <w:tcPr>
            <w:tcW w:w="709" w:type="dxa"/>
            <w:noWrap w:val="0"/>
            <w:vAlign w:val="center"/>
          </w:tcPr>
          <w:p>
            <w:pPr>
              <w:widowControl w:val="0"/>
              <w:spacing w:line="360" w:lineRule="auto"/>
              <w:jc w:val="center"/>
              <w:rPr>
                <w:highlight w:val="none"/>
              </w:rPr>
            </w:pPr>
            <w:r>
              <w:rPr>
                <w:rFonts w:hint="eastAsia"/>
                <w:highlight w:val="none"/>
              </w:rPr>
              <w:t>6</w:t>
            </w:r>
          </w:p>
        </w:tc>
        <w:tc>
          <w:tcPr>
            <w:tcW w:w="11020" w:type="dxa"/>
            <w:noWrap w:val="0"/>
            <w:vAlign w:val="center"/>
          </w:tcPr>
          <w:p>
            <w:pPr>
              <w:pStyle w:val="2"/>
              <w:widowControl w:val="0"/>
              <w:autoSpaceDE w:val="0"/>
              <w:autoSpaceDN w:val="0"/>
              <w:spacing w:line="360" w:lineRule="auto"/>
              <w:jc w:val="both"/>
              <w:rPr>
                <w:highlight w:val="none"/>
              </w:rPr>
            </w:pPr>
            <w:r>
              <w:rPr>
                <w:rFonts w:hint="eastAsia" w:ascii="宋体" w:hAnsi="宋体" w:eastAsia="宋体" w:cs="宋体"/>
                <w:sz w:val="21"/>
                <w:szCs w:val="21"/>
                <w:highlight w:val="none"/>
              </w:rPr>
              <w:t>供应商自2020年1月1日（时间以合同签订时间为准）至今独立承接的</w:t>
            </w:r>
            <w:r>
              <w:rPr>
                <w:rFonts w:hint="eastAsia" w:ascii="宋体" w:hAnsi="宋体" w:eastAsia="宋体" w:cs="宋体"/>
                <w:sz w:val="21"/>
                <w:szCs w:val="21"/>
                <w:highlight w:val="none"/>
              </w:rPr>
              <w:t>市政类</w:t>
            </w:r>
            <w:r>
              <w:rPr>
                <w:rFonts w:hint="eastAsia" w:ascii="宋体" w:hAnsi="宋体" w:eastAsia="宋体" w:cs="宋体"/>
                <w:sz w:val="21"/>
                <w:szCs w:val="21"/>
                <w:highlight w:val="none"/>
              </w:rPr>
              <w:t>项目，每个项目得3分，本项最高得6分。</w:t>
            </w:r>
            <w:r>
              <w:rPr>
                <w:rFonts w:hint="eastAsia" w:ascii="宋体" w:hAnsi="宋体" w:eastAsia="宋体" w:cs="宋体"/>
                <w:b/>
                <w:bCs/>
                <w:sz w:val="21"/>
                <w:szCs w:val="21"/>
                <w:highlight w:val="none"/>
              </w:rPr>
              <w:t>注：须提供合同关键页（含签订合同双方的单位名称、合同项目名称、项目金额、签订合同双方的落款盖章、签订日期）或协议的复印件加盖公章，不提供相关证明资料不得分。</w:t>
            </w: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427" w:type="dxa"/>
            <w:noWrap w:val="0"/>
            <w:vAlign w:val="center"/>
          </w:tcPr>
          <w:p>
            <w:pPr>
              <w:widowControl w:val="0"/>
              <w:spacing w:line="360" w:lineRule="auto"/>
              <w:jc w:val="center"/>
              <w:rPr>
                <w:rFonts w:hint="eastAsia" w:eastAsia="宋体"/>
                <w:highlight w:val="none"/>
                <w:lang w:eastAsia="zh-CN"/>
              </w:rPr>
            </w:pPr>
            <w:r>
              <w:rPr>
                <w:rFonts w:hint="eastAsia"/>
                <w:highlight w:val="none"/>
                <w:lang w:val="en-US" w:eastAsia="zh-CN"/>
              </w:rPr>
              <w:t>7</w:t>
            </w:r>
          </w:p>
        </w:tc>
        <w:tc>
          <w:tcPr>
            <w:tcW w:w="1524" w:type="dxa"/>
            <w:noWrap w:val="0"/>
            <w:vAlign w:val="center"/>
          </w:tcPr>
          <w:p>
            <w:pPr>
              <w:widowControl w:val="0"/>
              <w:spacing w:line="360" w:lineRule="auto"/>
              <w:jc w:val="center"/>
              <w:rPr>
                <w:highlight w:val="none"/>
              </w:rPr>
            </w:pPr>
            <w:r>
              <w:rPr>
                <w:rFonts w:hint="eastAsia"/>
                <w:highlight w:val="none"/>
              </w:rPr>
              <w:t>施工组织方案</w:t>
            </w:r>
          </w:p>
        </w:tc>
        <w:tc>
          <w:tcPr>
            <w:tcW w:w="709" w:type="dxa"/>
            <w:noWrap w:val="0"/>
            <w:vAlign w:val="center"/>
          </w:tcPr>
          <w:p>
            <w:pPr>
              <w:widowControl w:val="0"/>
              <w:spacing w:line="360" w:lineRule="auto"/>
              <w:jc w:val="center"/>
              <w:rPr>
                <w:highlight w:val="none"/>
              </w:rPr>
            </w:pPr>
            <w:r>
              <w:rPr>
                <w:rFonts w:hint="eastAsia"/>
                <w:highlight w:val="none"/>
              </w:rPr>
              <w:t>15</w:t>
            </w:r>
          </w:p>
        </w:tc>
        <w:tc>
          <w:tcPr>
            <w:tcW w:w="11020" w:type="dxa"/>
            <w:noWrap w:val="0"/>
            <w:vAlign w:val="center"/>
          </w:tcPr>
          <w:p>
            <w:pPr>
              <w:widowControl w:val="0"/>
              <w:spacing w:line="360" w:lineRule="auto"/>
              <w:jc w:val="both"/>
              <w:rPr>
                <w:highlight w:val="none"/>
              </w:rPr>
            </w:pPr>
            <w:r>
              <w:rPr>
                <w:rFonts w:hint="eastAsia"/>
                <w:highlight w:val="none"/>
              </w:rPr>
              <w:t>1、施工组织方案完善、具体措施合理、可行，得 15分；</w:t>
            </w:r>
          </w:p>
          <w:p>
            <w:pPr>
              <w:widowControl w:val="0"/>
              <w:spacing w:line="360" w:lineRule="auto"/>
              <w:jc w:val="both"/>
              <w:rPr>
                <w:highlight w:val="none"/>
              </w:rPr>
            </w:pPr>
            <w:r>
              <w:rPr>
                <w:rFonts w:hint="eastAsia"/>
                <w:highlight w:val="none"/>
              </w:rPr>
              <w:t>2、施工组织方案较完善、具体措施较合理、较可行，得 10分；</w:t>
            </w:r>
          </w:p>
          <w:p>
            <w:pPr>
              <w:widowControl w:val="0"/>
              <w:spacing w:line="360" w:lineRule="auto"/>
              <w:jc w:val="both"/>
              <w:rPr>
                <w:highlight w:val="none"/>
              </w:rPr>
            </w:pPr>
            <w:r>
              <w:rPr>
                <w:rFonts w:hint="eastAsia"/>
                <w:highlight w:val="none"/>
              </w:rPr>
              <w:t>3、施工组织方案基本完善，但具体措施不全面，得5分；</w:t>
            </w:r>
          </w:p>
          <w:p>
            <w:pPr>
              <w:widowControl w:val="0"/>
              <w:spacing w:line="360" w:lineRule="auto"/>
              <w:jc w:val="both"/>
              <w:rPr>
                <w:highlight w:val="none"/>
              </w:rPr>
            </w:pPr>
            <w:r>
              <w:rPr>
                <w:rFonts w:hint="eastAsia"/>
                <w:highlight w:val="none"/>
              </w:rPr>
              <w:t>4、施工组织方案不够完善，且具体措施有缺失，得3分；</w:t>
            </w:r>
          </w:p>
          <w:p>
            <w:pPr>
              <w:widowControl w:val="0"/>
              <w:spacing w:line="360" w:lineRule="auto"/>
              <w:jc w:val="both"/>
              <w:rPr>
                <w:highlight w:val="none"/>
              </w:rPr>
            </w:pPr>
            <w:r>
              <w:rPr>
                <w:rFonts w:hint="eastAsia"/>
                <w:highlight w:val="none"/>
              </w:rPr>
              <w:t>5、没有提供施工组织方案，得 0 分。</w:t>
            </w:r>
            <w:r>
              <w:rPr>
                <w:rFonts w:hint="eastAsia"/>
                <w:highlight w:val="none"/>
              </w:rPr>
              <w:tab/>
            </w:r>
            <w:r>
              <w:rPr>
                <w:rFonts w:hint="eastAsia"/>
                <w:highlight w:val="none"/>
              </w:rPr>
              <w:tab/>
            </w: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jc w:val="center"/>
        </w:trPr>
        <w:tc>
          <w:tcPr>
            <w:tcW w:w="427" w:type="dxa"/>
            <w:noWrap w:val="0"/>
            <w:vAlign w:val="center"/>
          </w:tcPr>
          <w:p>
            <w:pPr>
              <w:widowControl w:val="0"/>
              <w:spacing w:line="360" w:lineRule="auto"/>
              <w:jc w:val="center"/>
              <w:rPr>
                <w:rFonts w:hint="eastAsia" w:eastAsia="宋体"/>
                <w:highlight w:val="none"/>
                <w:lang w:eastAsia="zh-CN"/>
              </w:rPr>
            </w:pPr>
            <w:r>
              <w:rPr>
                <w:rFonts w:hint="eastAsia"/>
                <w:highlight w:val="none"/>
                <w:lang w:val="en-US" w:eastAsia="zh-CN"/>
              </w:rPr>
              <w:t>8</w:t>
            </w:r>
          </w:p>
        </w:tc>
        <w:tc>
          <w:tcPr>
            <w:tcW w:w="1524" w:type="dxa"/>
            <w:noWrap w:val="0"/>
            <w:vAlign w:val="center"/>
          </w:tcPr>
          <w:p>
            <w:pPr>
              <w:widowControl w:val="0"/>
              <w:spacing w:line="360" w:lineRule="auto"/>
              <w:jc w:val="center"/>
              <w:rPr>
                <w:highlight w:val="none"/>
              </w:rPr>
            </w:pPr>
            <w:r>
              <w:rPr>
                <w:rFonts w:hint="eastAsia"/>
                <w:highlight w:val="none"/>
              </w:rPr>
              <w:t>应急方案</w:t>
            </w:r>
          </w:p>
        </w:tc>
        <w:tc>
          <w:tcPr>
            <w:tcW w:w="709" w:type="dxa"/>
            <w:noWrap w:val="0"/>
            <w:vAlign w:val="center"/>
          </w:tcPr>
          <w:p>
            <w:pPr>
              <w:widowControl w:val="0"/>
              <w:spacing w:line="360" w:lineRule="auto"/>
              <w:jc w:val="center"/>
              <w:rPr>
                <w:highlight w:val="none"/>
              </w:rPr>
            </w:pPr>
            <w:r>
              <w:rPr>
                <w:rFonts w:hint="eastAsia"/>
                <w:highlight w:val="none"/>
              </w:rPr>
              <w:t>15</w:t>
            </w:r>
          </w:p>
        </w:tc>
        <w:tc>
          <w:tcPr>
            <w:tcW w:w="11020" w:type="dxa"/>
            <w:noWrap w:val="0"/>
            <w:vAlign w:val="center"/>
          </w:tcPr>
          <w:p>
            <w:pPr>
              <w:widowControl w:val="0"/>
              <w:numPr>
                <w:ilvl w:val="0"/>
                <w:numId w:val="20"/>
              </w:numPr>
              <w:spacing w:line="360" w:lineRule="auto"/>
              <w:ind w:right="-141" w:rightChars="-67"/>
              <w:jc w:val="both"/>
              <w:rPr>
                <w:rFonts w:hint="eastAsia"/>
                <w:highlight w:val="none"/>
              </w:rPr>
            </w:pPr>
            <w:r>
              <w:rPr>
                <w:rFonts w:hint="eastAsia"/>
                <w:highlight w:val="none"/>
              </w:rPr>
              <w:t>应急方案可行、完善，内容全面具体，有明确的处理人员，应急机械配备齐全，响应、处理时间及时，得 15分；</w:t>
            </w:r>
          </w:p>
          <w:p>
            <w:pPr>
              <w:widowControl w:val="0"/>
              <w:numPr>
                <w:ilvl w:val="0"/>
                <w:numId w:val="20"/>
              </w:numPr>
              <w:spacing w:line="360" w:lineRule="auto"/>
              <w:ind w:right="-141" w:rightChars="-67"/>
              <w:jc w:val="both"/>
              <w:rPr>
                <w:highlight w:val="none"/>
              </w:rPr>
            </w:pPr>
            <w:r>
              <w:rPr>
                <w:rFonts w:hint="eastAsia"/>
                <w:highlight w:val="none"/>
              </w:rPr>
              <w:t>应急方案较可行、较完善，内容较全面，有处理人员和应急机械，响应、处理时间良好，得 10分；</w:t>
            </w:r>
          </w:p>
          <w:p>
            <w:pPr>
              <w:widowControl w:val="0"/>
              <w:spacing w:line="360" w:lineRule="auto"/>
              <w:jc w:val="both"/>
              <w:rPr>
                <w:highlight w:val="none"/>
              </w:rPr>
            </w:pPr>
            <w:r>
              <w:rPr>
                <w:rFonts w:hint="eastAsia"/>
                <w:highlight w:val="none"/>
              </w:rPr>
              <w:t>3、应急方案基本可行，内容基本全面，有一定的处理人员和应急机械，响应、处理时间基本满足要求，得 5分；</w:t>
            </w:r>
          </w:p>
          <w:p>
            <w:pPr>
              <w:widowControl w:val="0"/>
              <w:spacing w:line="360" w:lineRule="auto"/>
              <w:jc w:val="both"/>
              <w:rPr>
                <w:highlight w:val="none"/>
              </w:rPr>
            </w:pPr>
            <w:r>
              <w:rPr>
                <w:rFonts w:hint="eastAsia"/>
                <w:highlight w:val="none"/>
              </w:rPr>
              <w:t>4、应急方案内容不够全面，得 3 分；</w:t>
            </w:r>
          </w:p>
          <w:p>
            <w:pPr>
              <w:widowControl w:val="0"/>
              <w:spacing w:line="360" w:lineRule="auto"/>
              <w:jc w:val="both"/>
              <w:rPr>
                <w:highlight w:val="none"/>
              </w:rPr>
            </w:pPr>
            <w:r>
              <w:rPr>
                <w:rFonts w:hint="eastAsia"/>
                <w:highlight w:val="none"/>
              </w:rPr>
              <w:t>5、没有提供应急方案，得 0 分。</w:t>
            </w: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427" w:type="dxa"/>
            <w:noWrap w:val="0"/>
            <w:vAlign w:val="center"/>
          </w:tcPr>
          <w:p>
            <w:pPr>
              <w:widowControl w:val="0"/>
              <w:spacing w:line="360" w:lineRule="auto"/>
              <w:jc w:val="center"/>
              <w:rPr>
                <w:rFonts w:hint="eastAsia" w:eastAsia="宋体"/>
                <w:highlight w:val="none"/>
                <w:lang w:eastAsia="zh-CN"/>
              </w:rPr>
            </w:pPr>
            <w:r>
              <w:rPr>
                <w:rFonts w:hint="eastAsia"/>
                <w:highlight w:val="none"/>
                <w:lang w:val="en-US" w:eastAsia="zh-CN"/>
              </w:rPr>
              <w:t>9</w:t>
            </w:r>
          </w:p>
        </w:tc>
        <w:tc>
          <w:tcPr>
            <w:tcW w:w="1524" w:type="dxa"/>
            <w:noWrap w:val="0"/>
            <w:vAlign w:val="center"/>
          </w:tcPr>
          <w:p>
            <w:pPr>
              <w:widowControl w:val="0"/>
              <w:spacing w:line="360" w:lineRule="auto"/>
              <w:jc w:val="center"/>
              <w:rPr>
                <w:highlight w:val="none"/>
              </w:rPr>
            </w:pPr>
            <w:r>
              <w:rPr>
                <w:rFonts w:hint="eastAsia"/>
                <w:highlight w:val="none"/>
              </w:rPr>
              <w:t>质量保证措施及售后服务承诺情况</w:t>
            </w:r>
          </w:p>
          <w:p>
            <w:pPr>
              <w:widowControl w:val="0"/>
              <w:spacing w:line="360" w:lineRule="auto"/>
              <w:jc w:val="center"/>
              <w:rPr>
                <w:highlight w:val="none"/>
              </w:rPr>
            </w:pPr>
          </w:p>
        </w:tc>
        <w:tc>
          <w:tcPr>
            <w:tcW w:w="709" w:type="dxa"/>
            <w:noWrap w:val="0"/>
            <w:vAlign w:val="center"/>
          </w:tcPr>
          <w:p>
            <w:pPr>
              <w:widowControl w:val="0"/>
              <w:spacing w:line="360" w:lineRule="auto"/>
              <w:jc w:val="center"/>
              <w:rPr>
                <w:highlight w:val="none"/>
              </w:rPr>
            </w:pPr>
            <w:r>
              <w:rPr>
                <w:rFonts w:hint="eastAsia"/>
                <w:highlight w:val="none"/>
              </w:rPr>
              <w:t>15</w:t>
            </w:r>
          </w:p>
        </w:tc>
        <w:tc>
          <w:tcPr>
            <w:tcW w:w="11020" w:type="dxa"/>
            <w:noWrap w:val="0"/>
            <w:vAlign w:val="center"/>
          </w:tcPr>
          <w:p>
            <w:pPr>
              <w:widowControl w:val="0"/>
              <w:spacing w:line="360" w:lineRule="auto"/>
              <w:jc w:val="both"/>
              <w:rPr>
                <w:highlight w:val="none"/>
              </w:rPr>
            </w:pPr>
            <w:r>
              <w:rPr>
                <w:rFonts w:hint="eastAsia"/>
                <w:highlight w:val="none"/>
              </w:rPr>
              <w:t>1、质量保证措施、服务便利性、质量问题解决方案等相应方案可行、完善，内容全面具体，得15分；</w:t>
            </w:r>
          </w:p>
          <w:p>
            <w:pPr>
              <w:widowControl w:val="0"/>
              <w:spacing w:line="360" w:lineRule="auto"/>
              <w:jc w:val="both"/>
              <w:rPr>
                <w:highlight w:val="none"/>
              </w:rPr>
            </w:pPr>
            <w:r>
              <w:rPr>
                <w:rFonts w:hint="eastAsia"/>
                <w:highlight w:val="none"/>
              </w:rPr>
              <w:t>2、质量保证措施、服务便利性、质量问题解决方案等相应方案较可行、较完善，内容较全面，得10分；</w:t>
            </w:r>
          </w:p>
          <w:p>
            <w:pPr>
              <w:widowControl w:val="0"/>
              <w:spacing w:line="360" w:lineRule="auto"/>
              <w:jc w:val="both"/>
              <w:rPr>
                <w:highlight w:val="none"/>
              </w:rPr>
            </w:pPr>
            <w:r>
              <w:rPr>
                <w:rFonts w:hint="eastAsia"/>
                <w:highlight w:val="none"/>
              </w:rPr>
              <w:t>3、质量保证措施、服务便利性、质量问题解决方案等相应方案基本可行，内容基本全面，得5分；</w:t>
            </w:r>
          </w:p>
          <w:p>
            <w:pPr>
              <w:widowControl w:val="0"/>
              <w:spacing w:line="360" w:lineRule="auto"/>
              <w:jc w:val="both"/>
              <w:rPr>
                <w:highlight w:val="none"/>
              </w:rPr>
            </w:pPr>
            <w:r>
              <w:rPr>
                <w:rFonts w:hint="eastAsia"/>
                <w:highlight w:val="none"/>
              </w:rPr>
              <w:t>4、质量保证措施、服务便利性、质量问题解决方案等相应方案一般，内容一般，得3分；</w:t>
            </w:r>
          </w:p>
          <w:p>
            <w:pPr>
              <w:widowControl w:val="0"/>
              <w:spacing w:line="360" w:lineRule="auto"/>
              <w:jc w:val="both"/>
              <w:rPr>
                <w:highlight w:val="none"/>
              </w:rPr>
            </w:pPr>
            <w:r>
              <w:rPr>
                <w:rFonts w:hint="eastAsia"/>
                <w:highlight w:val="none"/>
              </w:rPr>
              <w:t>5、没有提供任何方案，得 0 分。</w:t>
            </w:r>
            <w:r>
              <w:rPr>
                <w:rFonts w:hint="eastAsia"/>
                <w:highlight w:val="none"/>
              </w:rPr>
              <w:tab/>
            </w:r>
            <w:r>
              <w:rPr>
                <w:rFonts w:hint="eastAsia"/>
                <w:highlight w:val="none"/>
              </w:rPr>
              <w:tab/>
            </w:r>
          </w:p>
        </w:tc>
        <w:tc>
          <w:tcPr>
            <w:tcW w:w="886" w:type="dxa"/>
            <w:noWrap w:val="0"/>
            <w:vAlign w:val="top"/>
          </w:tcPr>
          <w:p>
            <w:pPr>
              <w:widowControl w:val="0"/>
              <w:spacing w:line="360" w:lineRule="auto"/>
              <w:jc w:val="center"/>
              <w:rPr>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951" w:type="dxa"/>
            <w:gridSpan w:val="2"/>
            <w:noWrap w:val="0"/>
            <w:vAlign w:val="center"/>
          </w:tcPr>
          <w:p>
            <w:pPr>
              <w:widowControl w:val="0"/>
              <w:spacing w:line="360" w:lineRule="auto"/>
              <w:jc w:val="center"/>
              <w:rPr>
                <w:b/>
                <w:highlight w:val="none"/>
              </w:rPr>
            </w:pPr>
            <w:r>
              <w:rPr>
                <w:rFonts w:hint="eastAsia"/>
                <w:b/>
                <w:highlight w:val="none"/>
              </w:rPr>
              <w:t>合计</w:t>
            </w:r>
          </w:p>
        </w:tc>
        <w:tc>
          <w:tcPr>
            <w:tcW w:w="709" w:type="dxa"/>
            <w:noWrap w:val="0"/>
            <w:vAlign w:val="center"/>
          </w:tcPr>
          <w:p>
            <w:pPr>
              <w:widowControl w:val="0"/>
              <w:spacing w:line="360" w:lineRule="auto"/>
              <w:jc w:val="center"/>
              <w:rPr>
                <w:highlight w:val="none"/>
              </w:rPr>
            </w:pPr>
            <w:r>
              <w:rPr>
                <w:rFonts w:hint="eastAsia"/>
                <w:highlight w:val="none"/>
              </w:rPr>
              <w:t>90</w:t>
            </w:r>
          </w:p>
        </w:tc>
        <w:tc>
          <w:tcPr>
            <w:tcW w:w="11020" w:type="dxa"/>
            <w:noWrap w:val="0"/>
            <w:vAlign w:val="center"/>
          </w:tcPr>
          <w:p>
            <w:pPr>
              <w:widowControl w:val="0"/>
              <w:spacing w:line="360" w:lineRule="auto"/>
              <w:jc w:val="center"/>
              <w:rPr>
                <w:highlight w:val="none"/>
              </w:rPr>
            </w:pPr>
            <w:r>
              <w:rPr>
                <w:rFonts w:ascii="宋体" w:hAnsi="宋体"/>
                <w:b/>
                <w:w w:val="99"/>
                <w:highlight w:val="none"/>
              </w:rPr>
              <w:t>得分总计</w:t>
            </w:r>
          </w:p>
        </w:tc>
        <w:tc>
          <w:tcPr>
            <w:tcW w:w="886" w:type="dxa"/>
            <w:noWrap w:val="0"/>
            <w:vAlign w:val="top"/>
          </w:tcPr>
          <w:p>
            <w:pPr>
              <w:widowControl w:val="0"/>
              <w:spacing w:line="360" w:lineRule="auto"/>
              <w:jc w:val="center"/>
              <w:rPr>
                <w:highlight w:val="none"/>
              </w:rPr>
            </w:pPr>
          </w:p>
        </w:tc>
      </w:tr>
    </w:tbl>
    <w:p>
      <w:pPr>
        <w:rPr>
          <w:szCs w:val="21"/>
          <w:highlight w:val="none"/>
        </w:rPr>
      </w:pPr>
    </w:p>
    <w:p>
      <w:pPr>
        <w:tabs>
          <w:tab w:val="left" w:pos="561"/>
        </w:tabs>
        <w:rPr>
          <w:rFonts w:hint="eastAsia"/>
          <w:highlight w:val="none"/>
        </w:rPr>
      </w:pPr>
      <w:bookmarkStart w:id="75" w:name="_Toc1562"/>
      <w:r>
        <w:rPr>
          <w:rFonts w:hint="eastAsia"/>
          <w:highlight w:val="none"/>
        </w:rPr>
        <w:t>注：技术商务评分为所有评委评分分值的算术平均值（四舍五入后，小数点后保留两位有效数）。</w:t>
      </w:r>
    </w:p>
    <w:p>
      <w:pPr>
        <w:tabs>
          <w:tab w:val="left" w:pos="561"/>
        </w:tabs>
        <w:rPr>
          <w:rFonts w:hint="eastAsia"/>
          <w:highlight w:val="none"/>
        </w:rPr>
      </w:pPr>
    </w:p>
    <w:p>
      <w:pPr>
        <w:tabs>
          <w:tab w:val="left" w:pos="561"/>
        </w:tabs>
        <w:rPr>
          <w:rFonts w:ascii="宋体" w:hAnsi="宋体" w:cs="Arial"/>
          <w:szCs w:val="21"/>
          <w:highlight w:val="none"/>
        </w:rPr>
      </w:pPr>
      <w:r>
        <w:rPr>
          <w:rFonts w:hint="eastAsia"/>
          <w:szCs w:val="21"/>
          <w:highlight w:val="none"/>
        </w:rPr>
        <w:t>评委签名：                                                                                日期：</w:t>
      </w:r>
      <w:bookmarkEnd w:id="75"/>
    </w:p>
    <w:p>
      <w:pPr>
        <w:tabs>
          <w:tab w:val="left" w:pos="561"/>
        </w:tabs>
        <w:rPr>
          <w:rFonts w:ascii="宋体" w:hAnsi="宋体" w:cs="Arial"/>
          <w:szCs w:val="21"/>
          <w:highlight w:val="none"/>
        </w:rPr>
      </w:pPr>
    </w:p>
    <w:p>
      <w:pPr>
        <w:tabs>
          <w:tab w:val="left" w:pos="561"/>
        </w:tabs>
        <w:rPr>
          <w:rFonts w:ascii="宋体" w:hAnsi="宋体" w:cs="Arial"/>
          <w:szCs w:val="21"/>
          <w:highlight w:val="none"/>
        </w:rPr>
      </w:pPr>
      <w:r>
        <w:rPr>
          <w:rFonts w:ascii="宋体" w:hAnsi="宋体" w:cs="Arial"/>
          <w:szCs w:val="21"/>
          <w:highlight w:val="none"/>
        </w:rPr>
        <w:br w:type="page"/>
      </w:r>
    </w:p>
    <w:p>
      <w:pPr>
        <w:spacing w:line="360" w:lineRule="auto"/>
        <w:rPr>
          <w:b/>
          <w:szCs w:val="21"/>
          <w:highlight w:val="none"/>
        </w:rPr>
      </w:pPr>
      <w:bookmarkStart w:id="76" w:name="_Toc30257_WPSOffice_Level2"/>
      <w:bookmarkStart w:id="77" w:name="_Toc22981"/>
      <w:bookmarkStart w:id="78" w:name="_Toc19580"/>
      <w:r>
        <w:rPr>
          <w:rFonts w:hint="eastAsia"/>
          <w:b/>
          <w:szCs w:val="21"/>
          <w:highlight w:val="none"/>
        </w:rPr>
        <w:t>附表3-3：</w:t>
      </w:r>
      <w:bookmarkEnd w:id="76"/>
      <w:bookmarkEnd w:id="77"/>
      <w:bookmarkEnd w:id="78"/>
    </w:p>
    <w:p>
      <w:pPr>
        <w:autoSpaceDE w:val="0"/>
        <w:autoSpaceDN w:val="0"/>
        <w:adjustRightInd w:val="0"/>
        <w:snapToGrid w:val="0"/>
        <w:spacing w:line="360" w:lineRule="auto"/>
        <w:jc w:val="center"/>
        <w:rPr>
          <w:rFonts w:ascii="宋体" w:hAnsi="宋体"/>
          <w:b/>
          <w:spacing w:val="20"/>
          <w:sz w:val="30"/>
          <w:szCs w:val="30"/>
          <w:highlight w:val="none"/>
        </w:rPr>
      </w:pPr>
      <w:bookmarkStart w:id="79" w:name="_Toc2502"/>
      <w:bookmarkStart w:id="80" w:name="_Toc23762_WPSOffice_Level2"/>
      <w:bookmarkStart w:id="81" w:name="_Toc6443"/>
      <w:r>
        <w:rPr>
          <w:rFonts w:hint="eastAsia" w:ascii="宋体" w:hAnsi="宋体"/>
          <w:b/>
          <w:spacing w:val="20"/>
          <w:sz w:val="30"/>
          <w:szCs w:val="30"/>
          <w:highlight w:val="none"/>
        </w:rPr>
        <w:t>第二轮    报价及承诺一览表</w:t>
      </w:r>
      <w:bookmarkEnd w:id="79"/>
      <w:bookmarkEnd w:id="80"/>
      <w:bookmarkEnd w:id="81"/>
    </w:p>
    <w:tbl>
      <w:tblPr>
        <w:tblStyle w:val="4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467"/>
        <w:gridCol w:w="70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843" w:hRule="atLeast"/>
          <w:jc w:val="center"/>
        </w:trPr>
        <w:tc>
          <w:tcPr>
            <w:tcW w:w="5467" w:type="dxa"/>
            <w:vAlign w:val="center"/>
          </w:tcPr>
          <w:p>
            <w:pPr>
              <w:spacing w:line="360" w:lineRule="auto"/>
              <w:jc w:val="center"/>
              <w:rPr>
                <w:b/>
                <w:sz w:val="24"/>
                <w:highlight w:val="none"/>
              </w:rPr>
            </w:pPr>
            <w:r>
              <w:rPr>
                <w:rFonts w:hint="eastAsia"/>
                <w:b/>
                <w:sz w:val="24"/>
                <w:highlight w:val="none"/>
              </w:rPr>
              <w:t>磋商项目名称</w:t>
            </w:r>
          </w:p>
        </w:tc>
        <w:tc>
          <w:tcPr>
            <w:tcW w:w="7080" w:type="dxa"/>
            <w:vAlign w:val="center"/>
          </w:tcPr>
          <w:p>
            <w:pPr>
              <w:spacing w:line="360" w:lineRule="auto"/>
              <w:jc w:val="center"/>
              <w:rPr>
                <w:b/>
                <w:sz w:val="24"/>
                <w:szCs w:val="22"/>
                <w:highlight w:val="none"/>
              </w:rPr>
            </w:pPr>
            <w:r>
              <w:rPr>
                <w:rFonts w:hint="eastAsia"/>
                <w:b/>
                <w:sz w:val="24"/>
                <w:szCs w:val="22"/>
                <w:highlight w:val="none"/>
              </w:rPr>
              <w:t>本项目</w:t>
            </w:r>
            <w:r>
              <w:rPr>
                <w:rFonts w:ascii="Times New Roman" w:hAnsi="Times New Roman"/>
                <w:b/>
                <w:kern w:val="0"/>
                <w:sz w:val="24"/>
                <w:szCs w:val="22"/>
                <w:highlight w:val="none"/>
              </w:rPr>
              <w:t>总报价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5" w:hRule="atLeast"/>
          <w:jc w:val="center"/>
        </w:trPr>
        <w:tc>
          <w:tcPr>
            <w:tcW w:w="5467" w:type="dxa"/>
            <w:vAlign w:val="center"/>
          </w:tcPr>
          <w:p>
            <w:pPr>
              <w:spacing w:line="360" w:lineRule="auto"/>
              <w:jc w:val="center"/>
              <w:rPr>
                <w:rFonts w:ascii="宋体" w:hAnsi="宋体"/>
                <w:kern w:val="28"/>
                <w:szCs w:val="21"/>
                <w:highlight w:val="none"/>
              </w:rPr>
            </w:pPr>
            <w:r>
              <w:rPr>
                <w:rFonts w:hint="eastAsia" w:ascii="宋体" w:hAnsi="宋体"/>
                <w:b/>
                <w:bCs/>
                <w:kern w:val="28"/>
                <w:sz w:val="24"/>
                <w:szCs w:val="24"/>
                <w:highlight w:val="none"/>
              </w:rPr>
              <w:t>俊景路观景路改造提升</w:t>
            </w:r>
          </w:p>
        </w:tc>
        <w:tc>
          <w:tcPr>
            <w:tcW w:w="7080" w:type="dxa"/>
            <w:vAlign w:val="center"/>
          </w:tcPr>
          <w:p>
            <w:pPr>
              <w:spacing w:line="360" w:lineRule="auto"/>
              <w:jc w:val="both"/>
              <w:rPr>
                <w:b/>
                <w:sz w:val="24"/>
                <w:szCs w:val="22"/>
                <w:highlight w:val="none"/>
              </w:rPr>
            </w:pPr>
            <w:r>
              <w:rPr>
                <w:rFonts w:hint="eastAsia"/>
                <w:b/>
                <w:sz w:val="24"/>
                <w:szCs w:val="22"/>
                <w:highlight w:val="none"/>
              </w:rPr>
              <w:t>小写：￥                    元</w:t>
            </w:r>
          </w:p>
          <w:p>
            <w:pPr>
              <w:spacing w:line="360" w:lineRule="auto"/>
              <w:jc w:val="both"/>
              <w:rPr>
                <w:b/>
                <w:sz w:val="24"/>
                <w:szCs w:val="22"/>
                <w:highlight w:val="none"/>
              </w:rPr>
            </w:pPr>
            <w:r>
              <w:rPr>
                <w:rFonts w:hint="eastAsia"/>
                <w:b/>
                <w:sz w:val="24"/>
                <w:szCs w:val="22"/>
                <w:highlight w:val="none"/>
              </w:rPr>
              <w:t xml:space="preserve">大写：人民币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8" w:hRule="atLeast"/>
          <w:jc w:val="center"/>
        </w:trPr>
        <w:tc>
          <w:tcPr>
            <w:tcW w:w="5467" w:type="dxa"/>
            <w:vAlign w:val="center"/>
          </w:tcPr>
          <w:p>
            <w:pPr>
              <w:spacing w:line="360" w:lineRule="auto"/>
              <w:jc w:val="center"/>
              <w:rPr>
                <w:b/>
                <w:szCs w:val="21"/>
                <w:highlight w:val="none"/>
              </w:rPr>
            </w:pPr>
            <w:r>
              <w:rPr>
                <w:rFonts w:hint="eastAsia"/>
                <w:b/>
                <w:szCs w:val="21"/>
                <w:highlight w:val="none"/>
              </w:rPr>
              <w:t>相关承诺</w:t>
            </w:r>
          </w:p>
        </w:tc>
        <w:tc>
          <w:tcPr>
            <w:tcW w:w="7080" w:type="dxa"/>
            <w:vAlign w:val="center"/>
          </w:tcPr>
          <w:p>
            <w:pPr>
              <w:spacing w:line="360" w:lineRule="auto"/>
              <w:jc w:val="center"/>
              <w:rPr>
                <w:rFonts w:hint="default" w:eastAsia="宋体"/>
                <w:b/>
                <w:szCs w:val="21"/>
                <w:highlight w:val="none"/>
                <w:lang w:val="en-US" w:eastAsia="zh-CN"/>
              </w:rPr>
            </w:pPr>
            <w:r>
              <w:rPr>
                <w:rFonts w:hint="eastAsia"/>
                <w:b/>
                <w:szCs w:val="21"/>
                <w:highlight w:val="none"/>
                <w:lang w:val="en-US" w:eastAsia="zh-CN"/>
              </w:rPr>
              <w:t>完全响应磋商文件要求</w:t>
            </w:r>
          </w:p>
        </w:tc>
      </w:tr>
    </w:tbl>
    <w:p>
      <w:pPr>
        <w:spacing w:line="360" w:lineRule="auto"/>
        <w:rPr>
          <w:szCs w:val="21"/>
          <w:highlight w:val="none"/>
        </w:rPr>
      </w:pPr>
      <w:r>
        <w:rPr>
          <w:rFonts w:hint="eastAsia"/>
          <w:szCs w:val="21"/>
          <w:highlight w:val="none"/>
        </w:rPr>
        <w:t>注：磋商评审原则为符合采购需求，质量、服务相等且报价满足采购人要求。</w:t>
      </w:r>
    </w:p>
    <w:p>
      <w:pPr>
        <w:spacing w:line="360" w:lineRule="auto"/>
        <w:ind w:right="420"/>
        <w:rPr>
          <w:rFonts w:ascii="宋体" w:hAnsi="宋体"/>
          <w:szCs w:val="21"/>
          <w:highlight w:val="none"/>
        </w:rPr>
      </w:pPr>
    </w:p>
    <w:p>
      <w:pPr>
        <w:spacing w:line="360" w:lineRule="auto"/>
        <w:ind w:right="420"/>
        <w:rPr>
          <w:rFonts w:ascii="宋体" w:hAnsi="宋体"/>
          <w:szCs w:val="21"/>
          <w:highlight w:val="none"/>
        </w:rPr>
      </w:pPr>
      <w:r>
        <w:rPr>
          <w:rFonts w:hint="eastAsia" w:ascii="宋体" w:hAnsi="宋体"/>
          <w:szCs w:val="21"/>
          <w:highlight w:val="none"/>
        </w:rPr>
        <w:t>供应商名称（加盖公章或委托人按指模）：</w:t>
      </w:r>
    </w:p>
    <w:p>
      <w:pPr>
        <w:spacing w:line="360" w:lineRule="auto"/>
        <w:rPr>
          <w:rFonts w:ascii="宋体" w:hAnsi="宋体"/>
          <w:szCs w:val="21"/>
          <w:highlight w:val="none"/>
        </w:rPr>
      </w:pPr>
    </w:p>
    <w:p>
      <w:pPr>
        <w:spacing w:line="360" w:lineRule="auto"/>
        <w:rPr>
          <w:b/>
          <w:szCs w:val="21"/>
          <w:highlight w:val="none"/>
        </w:rPr>
      </w:pPr>
      <w:r>
        <w:rPr>
          <w:rFonts w:hint="eastAsia" w:ascii="宋体" w:hAnsi="宋体"/>
          <w:szCs w:val="21"/>
          <w:highlight w:val="none"/>
        </w:rPr>
        <w:t>被授权代表签名（或盖章）：</w:t>
      </w: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报价日期：</w:t>
      </w:r>
    </w:p>
    <w:p>
      <w:pPr>
        <w:spacing w:line="360" w:lineRule="auto"/>
        <w:rPr>
          <w:rFonts w:ascii="宋体" w:hAnsi="宋体"/>
          <w:b/>
          <w:szCs w:val="21"/>
          <w:highlight w:val="none"/>
        </w:rPr>
      </w:pPr>
    </w:p>
    <w:p>
      <w:pPr>
        <w:spacing w:line="360" w:lineRule="auto"/>
        <w:rPr>
          <w:rFonts w:ascii="宋体" w:hAnsi="宋体"/>
          <w:szCs w:val="21"/>
          <w:highlight w:val="none"/>
        </w:rPr>
      </w:pPr>
      <w:r>
        <w:rPr>
          <w:rFonts w:hint="eastAsia" w:ascii="宋体" w:hAnsi="宋体"/>
          <w:b/>
          <w:szCs w:val="21"/>
          <w:highlight w:val="none"/>
        </w:rPr>
        <w:t>提醒：</w:t>
      </w:r>
      <w:r>
        <w:rPr>
          <w:rFonts w:hint="eastAsia" w:ascii="宋体" w:hAnsi="宋体"/>
          <w:b/>
          <w:bCs/>
          <w:szCs w:val="21"/>
          <w:highlight w:val="none"/>
        </w:rPr>
        <w:t>供应商</w:t>
      </w:r>
      <w:r>
        <w:rPr>
          <w:rFonts w:hint="eastAsia" w:hAnsi="宋体" w:cs="宋体"/>
          <w:b/>
          <w:szCs w:val="21"/>
          <w:highlight w:val="none"/>
          <w:lang w:bidi="ar"/>
        </w:rPr>
        <w:t>参加报价磋商时自备两张或以上《第二轮报价及承诺一览表》，并加盖报价单位红色公章或委托人按指模。《第二轮报价及承诺一览表》为评标小组与供应商磋商结束后作最终报价而用。如若因投标单位没有准备此表，临时打印的表格又未能加盖报价单位公章或委托人按指模有可能导致第二轮报价评标委员会不予认可，责任自负。</w:t>
      </w:r>
    </w:p>
    <w:p>
      <w:pPr>
        <w:pStyle w:val="5"/>
        <w:ind w:left="0"/>
        <w:rPr>
          <w:rFonts w:cs="宋体"/>
          <w:b/>
          <w:bCs/>
          <w:highlight w:val="none"/>
        </w:rPr>
        <w:sectPr>
          <w:type w:val="nextColumn"/>
          <w:pgSz w:w="16838" w:h="11906" w:orient="landscape"/>
          <w:pgMar w:top="1134" w:right="1134" w:bottom="1134" w:left="1134" w:header="851" w:footer="992" w:gutter="0"/>
          <w:cols w:space="720" w:num="1"/>
          <w:docGrid w:linePitch="312" w:charSpace="0"/>
        </w:sectPr>
      </w:pPr>
    </w:p>
    <w:p>
      <w:pPr>
        <w:pStyle w:val="5"/>
        <w:ind w:left="0"/>
        <w:rPr>
          <w:b/>
          <w:sz w:val="28"/>
          <w:szCs w:val="28"/>
          <w:highlight w:val="none"/>
        </w:rPr>
      </w:pPr>
      <w:bookmarkStart w:id="82" w:name="_Toc9753"/>
      <w:bookmarkStart w:id="83" w:name="_Toc17727_WPSOffice_Level2"/>
      <w:bookmarkStart w:id="84" w:name="_Toc20347"/>
      <w:r>
        <w:rPr>
          <w:rFonts w:hint="eastAsia" w:cs="宋体"/>
          <w:b/>
          <w:bCs/>
          <w:highlight w:val="none"/>
        </w:rPr>
        <w:t>附表3-4：评审价格修正表</w:t>
      </w:r>
      <w:r>
        <w:rPr>
          <w:rFonts w:hint="eastAsia" w:cs="宋体"/>
          <w:b/>
          <w:bCs/>
          <w:sz w:val="18"/>
          <w:szCs w:val="18"/>
          <w:highlight w:val="none"/>
        </w:rPr>
        <w:t>（注：此表不需要供应商填写）</w:t>
      </w:r>
      <w:bookmarkEnd w:id="82"/>
      <w:bookmarkEnd w:id="83"/>
      <w:bookmarkEnd w:id="84"/>
    </w:p>
    <w:p>
      <w:pPr>
        <w:pStyle w:val="5"/>
        <w:ind w:firstLine="562"/>
        <w:jc w:val="center"/>
        <w:rPr>
          <w:b/>
          <w:sz w:val="28"/>
          <w:szCs w:val="28"/>
          <w:highlight w:val="none"/>
        </w:rPr>
      </w:pPr>
      <w:r>
        <w:rPr>
          <w:rFonts w:hint="eastAsia"/>
          <w:b/>
          <w:sz w:val="28"/>
          <w:szCs w:val="28"/>
          <w:highlight w:val="none"/>
        </w:rPr>
        <w:t>评审价格修正表</w:t>
      </w:r>
    </w:p>
    <w:tbl>
      <w:tblPr>
        <w:tblStyle w:val="41"/>
        <w:tblW w:w="13180" w:type="dxa"/>
        <w:jc w:val="center"/>
        <w:tblLayout w:type="fixed"/>
        <w:tblCellMar>
          <w:top w:w="0" w:type="dxa"/>
          <w:left w:w="108" w:type="dxa"/>
          <w:bottom w:w="0" w:type="dxa"/>
          <w:right w:w="108" w:type="dxa"/>
        </w:tblCellMar>
      </w:tblPr>
      <w:tblGrid>
        <w:gridCol w:w="876"/>
        <w:gridCol w:w="3320"/>
        <w:gridCol w:w="2760"/>
        <w:gridCol w:w="505"/>
        <w:gridCol w:w="2408"/>
        <w:gridCol w:w="2798"/>
        <w:gridCol w:w="322"/>
        <w:gridCol w:w="191"/>
      </w:tblGrid>
      <w:tr>
        <w:tblPrEx>
          <w:tblCellMar>
            <w:top w:w="0" w:type="dxa"/>
            <w:left w:w="108" w:type="dxa"/>
            <w:bottom w:w="0" w:type="dxa"/>
            <w:right w:w="108" w:type="dxa"/>
          </w:tblCellMar>
        </w:tblPrEx>
        <w:trPr>
          <w:trHeight w:val="401" w:hRule="atLeast"/>
          <w:jc w:val="center"/>
        </w:trPr>
        <w:tc>
          <w:tcPr>
            <w:tcW w:w="12667" w:type="dxa"/>
            <w:gridSpan w:val="6"/>
            <w:tcBorders>
              <w:top w:val="nil"/>
              <w:left w:val="nil"/>
              <w:bottom w:val="single" w:color="auto" w:sz="4" w:space="0"/>
              <w:right w:val="nil"/>
            </w:tcBorders>
            <w:vAlign w:val="center"/>
          </w:tcPr>
          <w:p>
            <w:pPr>
              <w:rPr>
                <w:rFonts w:ascii="宋体" w:hAnsi="宋体" w:cs="宋体"/>
                <w:szCs w:val="21"/>
                <w:highlight w:val="none"/>
              </w:rPr>
            </w:pPr>
            <w:r>
              <w:rPr>
                <w:rFonts w:hint="eastAsia" w:ascii="宋体" w:hAnsi="宋体" w:cs="宋体"/>
                <w:szCs w:val="21"/>
                <w:highlight w:val="none"/>
              </w:rPr>
              <w:t>项目名称:                                                       项目编号：</w:t>
            </w:r>
          </w:p>
        </w:tc>
        <w:tc>
          <w:tcPr>
            <w:tcW w:w="513" w:type="dxa"/>
            <w:gridSpan w:val="2"/>
            <w:tcBorders>
              <w:top w:val="nil"/>
              <w:left w:val="nil"/>
              <w:bottom w:val="nil"/>
              <w:right w:val="nil"/>
            </w:tcBorders>
            <w:vAlign w:val="center"/>
          </w:tcPr>
          <w:p>
            <w:pPr>
              <w:ind w:right="480"/>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序号</w:t>
            </w:r>
          </w:p>
        </w:tc>
        <w:tc>
          <w:tcPr>
            <w:tcW w:w="3320"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项目</w:t>
            </w:r>
          </w:p>
        </w:tc>
        <w:tc>
          <w:tcPr>
            <w:tcW w:w="8793" w:type="dxa"/>
            <w:gridSpan w:val="5"/>
            <w:tcBorders>
              <w:top w:val="single" w:color="auto" w:sz="4" w:space="0"/>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szCs w:val="21"/>
                <w:highlight w:val="none"/>
              </w:rPr>
              <w:t>供应商</w:t>
            </w:r>
            <w:r>
              <w:rPr>
                <w:rFonts w:hint="eastAsia" w:ascii="宋体" w:hAnsi="宋体" w:cs="宋体"/>
                <w:szCs w:val="21"/>
                <w:highlight w:val="none"/>
              </w:rPr>
              <w:t>名称</w:t>
            </w:r>
          </w:p>
        </w:tc>
      </w:tr>
      <w:tr>
        <w:tblPrEx>
          <w:tblCellMar>
            <w:top w:w="0" w:type="dxa"/>
            <w:left w:w="108" w:type="dxa"/>
            <w:bottom w:w="0" w:type="dxa"/>
            <w:right w:w="108" w:type="dxa"/>
          </w:tblCellMar>
        </w:tblPrEx>
        <w:trPr>
          <w:gridAfter w:val="1"/>
          <w:wAfter w:w="191" w:type="dxa"/>
          <w:trHeight w:val="427" w:hRule="atLeast"/>
          <w:jc w:val="center"/>
        </w:trPr>
        <w:tc>
          <w:tcPr>
            <w:tcW w:w="876"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highlight w:val="none"/>
              </w:rPr>
            </w:pPr>
          </w:p>
        </w:tc>
        <w:tc>
          <w:tcPr>
            <w:tcW w:w="332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highlight w:val="none"/>
              </w:rPr>
            </w:pP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A</w:t>
            </w:r>
            <w:r>
              <w:rPr>
                <w:rFonts w:hint="eastAsia" w:ascii="宋体" w:hAnsi="宋体"/>
                <w:szCs w:val="21"/>
                <w:highlight w:val="none"/>
              </w:rPr>
              <w:t>供应商</w:t>
            </w: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B</w:t>
            </w:r>
            <w:r>
              <w:rPr>
                <w:rFonts w:hint="eastAsia" w:ascii="宋体" w:hAnsi="宋体"/>
                <w:szCs w:val="21"/>
                <w:highlight w:val="none"/>
              </w:rPr>
              <w:t>供应商</w:t>
            </w: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C</w:t>
            </w:r>
            <w:r>
              <w:rPr>
                <w:rFonts w:hint="eastAsia" w:ascii="宋体" w:hAnsi="宋体"/>
                <w:szCs w:val="21"/>
                <w:highlight w:val="none"/>
              </w:rPr>
              <w:t>供应商</w:t>
            </w: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1</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 xml:space="preserve">最终报价 </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2</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修正后的价格</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3</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报价给予的价格扣除(%)</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829"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4</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对小型或微型企业报价扶持的价格扣除（元）</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5</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评审价格（元）</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561" w:hRule="atLeast"/>
          <w:jc w:val="center"/>
        </w:trPr>
        <w:tc>
          <w:tcPr>
            <w:tcW w:w="4196" w:type="dxa"/>
            <w:gridSpan w:val="2"/>
            <w:tcBorders>
              <w:top w:val="nil"/>
              <w:left w:val="nil"/>
              <w:bottom w:val="nil"/>
              <w:right w:val="nil"/>
            </w:tcBorders>
            <w:vAlign w:val="center"/>
          </w:tcPr>
          <w:p>
            <w:pPr>
              <w:rPr>
                <w:rFonts w:ascii="宋体" w:hAnsi="宋体" w:cs="宋体"/>
                <w:szCs w:val="21"/>
                <w:highlight w:val="none"/>
              </w:rPr>
            </w:pPr>
            <w:r>
              <w:rPr>
                <w:rFonts w:hint="eastAsia" w:ascii="宋体" w:hAnsi="宋体" w:cs="宋体"/>
                <w:szCs w:val="21"/>
                <w:highlight w:val="none"/>
              </w:rPr>
              <w:t>说明：</w:t>
            </w:r>
          </w:p>
        </w:tc>
        <w:tc>
          <w:tcPr>
            <w:tcW w:w="2760" w:type="dxa"/>
            <w:tcBorders>
              <w:top w:val="nil"/>
              <w:left w:val="nil"/>
              <w:bottom w:val="nil"/>
              <w:right w:val="nil"/>
            </w:tcBorders>
            <w:vAlign w:val="center"/>
          </w:tcPr>
          <w:p>
            <w:pPr>
              <w:rPr>
                <w:rFonts w:ascii="宋体" w:hAnsi="宋体"/>
                <w:sz w:val="28"/>
                <w:szCs w:val="28"/>
                <w:highlight w:val="none"/>
              </w:rPr>
            </w:pPr>
          </w:p>
        </w:tc>
        <w:tc>
          <w:tcPr>
            <w:tcW w:w="2913" w:type="dxa"/>
            <w:gridSpan w:val="2"/>
            <w:tcBorders>
              <w:top w:val="nil"/>
              <w:left w:val="nil"/>
              <w:bottom w:val="nil"/>
              <w:right w:val="nil"/>
            </w:tcBorders>
            <w:vAlign w:val="center"/>
          </w:tcPr>
          <w:p>
            <w:pPr>
              <w:rPr>
                <w:rFonts w:ascii="宋体" w:hAnsi="宋体"/>
                <w:sz w:val="28"/>
                <w:szCs w:val="28"/>
                <w:highlight w:val="none"/>
              </w:rPr>
            </w:pPr>
          </w:p>
        </w:tc>
        <w:tc>
          <w:tcPr>
            <w:tcW w:w="3120" w:type="dxa"/>
            <w:gridSpan w:val="2"/>
            <w:tcBorders>
              <w:top w:val="nil"/>
              <w:left w:val="nil"/>
              <w:bottom w:val="nil"/>
              <w:right w:val="nil"/>
            </w:tcBorders>
            <w:vAlign w:val="bottom"/>
          </w:tcPr>
          <w:p>
            <w:pPr>
              <w:rPr>
                <w:rFonts w:ascii="宋体" w:hAnsi="宋体" w:cs="宋体"/>
                <w:sz w:val="28"/>
                <w:szCs w:val="28"/>
                <w:highlight w:val="none"/>
              </w:rPr>
            </w:pPr>
          </w:p>
        </w:tc>
      </w:tr>
      <w:tr>
        <w:tblPrEx>
          <w:tblCellMar>
            <w:top w:w="0" w:type="dxa"/>
            <w:left w:w="108" w:type="dxa"/>
            <w:bottom w:w="0" w:type="dxa"/>
            <w:right w:w="108" w:type="dxa"/>
          </w:tblCellMar>
        </w:tblPrEx>
        <w:trPr>
          <w:gridAfter w:val="1"/>
          <w:wAfter w:w="191" w:type="dxa"/>
          <w:trHeight w:val="3625" w:hRule="atLeast"/>
          <w:jc w:val="center"/>
        </w:trPr>
        <w:tc>
          <w:tcPr>
            <w:tcW w:w="12989" w:type="dxa"/>
            <w:gridSpan w:val="7"/>
            <w:tcBorders>
              <w:top w:val="nil"/>
              <w:left w:val="nil"/>
              <w:bottom w:val="nil"/>
              <w:right w:val="nil"/>
            </w:tcBorders>
            <w:vAlign w:val="center"/>
          </w:tcPr>
          <w:p>
            <w:pPr>
              <w:rPr>
                <w:rFonts w:hint="eastAsia" w:ascii="宋体" w:hAnsi="宋体" w:eastAsia="宋体" w:cs="宋体"/>
                <w:szCs w:val="21"/>
                <w:highlight w:val="none"/>
                <w:lang w:eastAsia="zh-CN"/>
              </w:rPr>
            </w:pPr>
            <w:r>
              <w:rPr>
                <w:rFonts w:hint="eastAsia" w:ascii="宋体" w:hAnsi="宋体" w:cs="宋体"/>
                <w:szCs w:val="21"/>
                <w:highlight w:val="none"/>
              </w:rPr>
              <w:t>1）价格修正包括：响应文件的大写金额和小写金额不一致的，以大写金额为准；总价金额与按单价汇总金额不一致的，以单价金额计算结果为准；单价金额小数点有明显错位的，应以总价为准，并修改单价。如果</w:t>
            </w:r>
            <w:r>
              <w:rPr>
                <w:rFonts w:hint="eastAsia" w:ascii="宋体" w:hAnsi="宋体"/>
                <w:szCs w:val="21"/>
                <w:highlight w:val="none"/>
              </w:rPr>
              <w:t>供应商</w:t>
            </w:r>
            <w:r>
              <w:rPr>
                <w:rFonts w:hint="eastAsia" w:ascii="宋体" w:hAnsi="宋体" w:cs="宋体"/>
                <w:szCs w:val="21"/>
                <w:highlight w:val="none"/>
              </w:rPr>
              <w:t>不接受对其错误的更正，其报价将被视为无效报价或确定为报价无效。</w:t>
            </w:r>
          </w:p>
          <w:p>
            <w:pPr>
              <w:rPr>
                <w:rFonts w:ascii="宋体" w:hAnsi="宋体" w:cs="宋体"/>
                <w:szCs w:val="21"/>
                <w:highlight w:val="none"/>
              </w:rPr>
            </w:pPr>
            <w:r>
              <w:rPr>
                <w:rFonts w:hint="eastAsia" w:ascii="宋体" w:hAnsi="宋体" w:cs="宋体"/>
                <w:szCs w:val="21"/>
                <w:highlight w:val="none"/>
              </w:rPr>
              <w:t>2）根据财政部、工业和信息化部印发的《政府采购促进中小企业发展管理办法》（财库﹝2020﹞46 号）的规定，供应商为小型或微型企业时，报价给予</w:t>
            </w:r>
            <w:r>
              <w:rPr>
                <w:rFonts w:hint="eastAsia" w:ascii="宋体" w:hAnsi="宋体" w:cs="宋体"/>
                <w:szCs w:val="21"/>
                <w:highlight w:val="none"/>
                <w:lang w:val="en-US" w:eastAsia="zh-CN"/>
              </w:rPr>
              <w:t>5</w:t>
            </w:r>
            <w:r>
              <w:rPr>
                <w:rFonts w:hint="eastAsia" w:ascii="宋体" w:hAnsi="宋体" w:cs="宋体"/>
                <w:szCs w:val="21"/>
                <w:highlight w:val="none"/>
              </w:rPr>
              <w:t>%的价格扣除，即：评标价格＝核实后的投标总价－小型或微型企业核实后的价格×</w:t>
            </w:r>
            <w:r>
              <w:rPr>
                <w:rFonts w:hint="eastAsia" w:ascii="宋体" w:hAnsi="宋体" w:cs="宋体"/>
                <w:szCs w:val="21"/>
                <w:highlight w:val="none"/>
                <w:lang w:val="en-US" w:eastAsia="zh-CN"/>
              </w:rPr>
              <w:t>5</w:t>
            </w:r>
            <w:r>
              <w:rPr>
                <w:rFonts w:hint="eastAsia" w:ascii="宋体" w:hAnsi="宋体" w:cs="宋体"/>
                <w:szCs w:val="21"/>
                <w:highlight w:val="none"/>
              </w:rPr>
              <w:t>%。</w:t>
            </w:r>
          </w:p>
          <w:p>
            <w:pPr>
              <w:rPr>
                <w:rFonts w:ascii="宋体" w:hAnsi="宋体" w:cs="宋体"/>
                <w:szCs w:val="21"/>
                <w:highlight w:val="none"/>
              </w:rPr>
            </w:pPr>
          </w:p>
          <w:p>
            <w:pP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01" w:hRule="atLeast"/>
          <w:jc w:val="center"/>
        </w:trPr>
        <w:tc>
          <w:tcPr>
            <w:tcW w:w="7461" w:type="dxa"/>
            <w:gridSpan w:val="4"/>
            <w:tcBorders>
              <w:top w:val="nil"/>
              <w:left w:val="nil"/>
              <w:bottom w:val="nil"/>
              <w:right w:val="nil"/>
            </w:tcBorders>
            <w:vAlign w:val="center"/>
          </w:tcPr>
          <w:p>
            <w:pPr>
              <w:rPr>
                <w:rFonts w:ascii="宋体" w:hAnsi="宋体" w:cs="宋体"/>
                <w:szCs w:val="21"/>
                <w:highlight w:val="none"/>
              </w:rPr>
            </w:pPr>
            <w:r>
              <w:rPr>
                <w:rFonts w:hint="eastAsia" w:ascii="宋体" w:hAnsi="宋体" w:cs="宋体"/>
                <w:b/>
                <w:bCs/>
                <w:szCs w:val="21"/>
                <w:highlight w:val="none"/>
              </w:rPr>
              <w:t>评委签名：</w:t>
            </w:r>
          </w:p>
        </w:tc>
        <w:tc>
          <w:tcPr>
            <w:tcW w:w="5528" w:type="dxa"/>
            <w:gridSpan w:val="3"/>
            <w:tcBorders>
              <w:top w:val="nil"/>
              <w:left w:val="nil"/>
              <w:bottom w:val="nil"/>
              <w:right w:val="nil"/>
            </w:tcBorders>
            <w:vAlign w:val="center"/>
          </w:tcPr>
          <w:p>
            <w:pPr>
              <w:rPr>
                <w:rFonts w:ascii="宋体" w:hAnsi="宋体" w:cs="宋体"/>
                <w:szCs w:val="21"/>
                <w:highlight w:val="none"/>
              </w:rPr>
            </w:pPr>
            <w:r>
              <w:rPr>
                <w:rFonts w:hint="eastAsia" w:ascii="宋体" w:hAnsi="宋体" w:cs="宋体"/>
                <w:szCs w:val="21"/>
                <w:highlight w:val="none"/>
              </w:rPr>
              <w:t>日期：   年 月 日</w:t>
            </w:r>
          </w:p>
        </w:tc>
      </w:tr>
    </w:tbl>
    <w:p>
      <w:pPr>
        <w:tabs>
          <w:tab w:val="left" w:pos="561"/>
        </w:tabs>
        <w:rPr>
          <w:rFonts w:ascii="宋体" w:hAnsi="宋体" w:cs="Arial"/>
          <w:szCs w:val="21"/>
          <w:highlight w:val="none"/>
        </w:rPr>
        <w:sectPr>
          <w:type w:val="nextColumn"/>
          <w:pgSz w:w="16840" w:h="11907" w:orient="landscape"/>
          <w:pgMar w:top="1134" w:right="1134" w:bottom="1134" w:left="1134" w:header="794" w:footer="794" w:gutter="0"/>
          <w:cols w:space="720" w:num="1"/>
          <w:docGrid w:linePitch="286" w:charSpace="274"/>
        </w:sectPr>
      </w:pPr>
    </w:p>
    <w:p>
      <w:pPr>
        <w:tabs>
          <w:tab w:val="left" w:pos="840"/>
        </w:tabs>
        <w:rPr>
          <w:sz w:val="32"/>
          <w:szCs w:val="32"/>
          <w:highlight w:val="none"/>
        </w:rPr>
      </w:pPr>
      <w:bookmarkStart w:id="85" w:name="_Toc31665"/>
      <w:bookmarkStart w:id="86" w:name="_Toc2840"/>
      <w:bookmarkStart w:id="87" w:name="_Toc13952"/>
      <w:bookmarkStart w:id="88" w:name="_Toc465353220"/>
      <w:bookmarkStart w:id="89" w:name="_Toc9960"/>
    </w:p>
    <w:p>
      <w:pPr>
        <w:tabs>
          <w:tab w:val="left" w:pos="840"/>
        </w:tabs>
        <w:rPr>
          <w:sz w:val="32"/>
          <w:szCs w:val="32"/>
          <w:highlight w:val="none"/>
        </w:rPr>
      </w:pPr>
    </w:p>
    <w:p>
      <w:pPr>
        <w:pStyle w:val="3"/>
        <w:jc w:val="center"/>
        <w:rPr>
          <w:sz w:val="52"/>
          <w:szCs w:val="52"/>
          <w:highlight w:val="none"/>
        </w:rPr>
      </w:pPr>
      <w:bookmarkStart w:id="90" w:name="_Toc15423"/>
      <w:r>
        <w:rPr>
          <w:rFonts w:hint="eastAsia"/>
          <w:sz w:val="52"/>
          <w:szCs w:val="52"/>
          <w:highlight w:val="none"/>
        </w:rPr>
        <w:t>第四部分   合 同 书 格 式</w:t>
      </w:r>
      <w:bookmarkEnd w:id="85"/>
      <w:bookmarkEnd w:id="86"/>
      <w:bookmarkEnd w:id="87"/>
      <w:bookmarkEnd w:id="88"/>
      <w:bookmarkEnd w:id="89"/>
      <w:bookmarkEnd w:id="90"/>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r>
        <w:rPr>
          <w:rFonts w:hint="eastAsia" w:hAnsi="宋体"/>
          <w:b/>
          <w:spacing w:val="-17"/>
          <w:sz w:val="28"/>
          <w:highlight w:val="none"/>
        </w:rPr>
        <w:t>施工合同范本</w:t>
      </w: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r>
        <w:rPr>
          <w:rFonts w:hint="eastAsia" w:hAnsi="宋体"/>
          <w:b/>
          <w:spacing w:val="-17"/>
          <w:sz w:val="28"/>
          <w:highlight w:val="none"/>
        </w:rPr>
        <w:t>（采用：《建设工程施工合同（示范文本）》（GF-2017-0201）</w:t>
      </w:r>
    </w:p>
    <w:p>
      <w:pPr>
        <w:adjustRightInd w:val="0"/>
        <w:snapToGrid w:val="0"/>
        <w:spacing w:line="360" w:lineRule="auto"/>
        <w:jc w:val="center"/>
        <w:rPr>
          <w:rFonts w:hAnsi="宋体"/>
          <w:b/>
          <w:sz w:val="32"/>
          <w:highlight w:val="none"/>
        </w:rPr>
      </w:pPr>
      <w:r>
        <w:rPr>
          <w:rFonts w:hint="eastAsia" w:hAnsi="宋体"/>
          <w:b/>
          <w:spacing w:val="-17"/>
          <w:sz w:val="28"/>
          <w:highlight w:val="none"/>
        </w:rPr>
        <w:t>（备注：由采购人和成交供应商根据磋商文件、响应文件内容及项目实际情况协商拟定合同。）</w:t>
      </w:r>
    </w:p>
    <w:p>
      <w:pPr>
        <w:adjustRightInd w:val="0"/>
        <w:snapToGrid w:val="0"/>
        <w:spacing w:line="360" w:lineRule="auto"/>
        <w:jc w:val="center"/>
        <w:rPr>
          <w:rFonts w:hAnsi="宋体"/>
          <w:b/>
          <w:sz w:val="32"/>
          <w:highlight w:val="none"/>
        </w:rPr>
      </w:pPr>
    </w:p>
    <w:p>
      <w:pPr>
        <w:pStyle w:val="4"/>
        <w:spacing w:before="157" w:after="157"/>
        <w:ind w:left="425"/>
        <w:jc w:val="both"/>
        <w:rPr>
          <w:rFonts w:ascii="Tahoma" w:hAnsi="Tahoma" w:cs="Sim Sun"/>
          <w:color w:val="auto"/>
          <w:sz w:val="24"/>
          <w:szCs w:val="20"/>
          <w:highlight w:val="none"/>
        </w:rPr>
      </w:pPr>
    </w:p>
    <w:p>
      <w:pPr>
        <w:adjustRightInd w:val="0"/>
        <w:snapToGrid w:val="0"/>
        <w:spacing w:line="360" w:lineRule="auto"/>
        <w:jc w:val="center"/>
        <w:rPr>
          <w:rFonts w:hAnsi="宋体"/>
          <w:b/>
          <w:sz w:val="32"/>
          <w:highlight w:val="none"/>
        </w:rPr>
      </w:pPr>
    </w:p>
    <w:p>
      <w:pPr>
        <w:pStyle w:val="4"/>
        <w:spacing w:before="157" w:after="157"/>
        <w:ind w:left="7655" w:hanging="567"/>
        <w:rPr>
          <w:rFonts w:ascii="Tahoma" w:hAnsi="Tahoma" w:cs="Sim Sun"/>
          <w:color w:val="auto"/>
          <w:sz w:val="24"/>
          <w:szCs w:val="20"/>
          <w:highlight w:val="none"/>
        </w:rPr>
      </w:pPr>
    </w:p>
    <w:p>
      <w:pPr>
        <w:rPr>
          <w:rFonts w:ascii="Tahoma" w:hAnsi="Tahoma" w:cs="Sim Sun"/>
          <w:sz w:val="24"/>
          <w:highlight w:val="none"/>
        </w:rPr>
      </w:pPr>
    </w:p>
    <w:p>
      <w:pPr>
        <w:pStyle w:val="4"/>
        <w:spacing w:before="157" w:after="157"/>
        <w:ind w:left="7655" w:hanging="567"/>
        <w:rPr>
          <w:rFonts w:ascii="Tahoma" w:hAnsi="Tahoma" w:cs="Sim Sun"/>
          <w:color w:val="auto"/>
          <w:sz w:val="24"/>
          <w:szCs w:val="20"/>
          <w:highlight w:val="none"/>
        </w:rPr>
      </w:pPr>
    </w:p>
    <w:p>
      <w:pPr>
        <w:pStyle w:val="4"/>
        <w:spacing w:before="157" w:after="157"/>
        <w:rPr>
          <w:rFonts w:ascii="黑体" w:eastAsia="黑体"/>
          <w:b w:val="0"/>
          <w:color w:val="auto"/>
          <w:sz w:val="44"/>
          <w:highlight w:val="none"/>
        </w:rPr>
      </w:pPr>
    </w:p>
    <w:p>
      <w:pPr>
        <w:pStyle w:val="5"/>
        <w:rPr>
          <w:highlight w:val="none"/>
        </w:rPr>
      </w:pPr>
    </w:p>
    <w:p>
      <w:pPr>
        <w:spacing w:line="360" w:lineRule="auto"/>
        <w:jc w:val="center"/>
        <w:rPr>
          <w:rFonts w:ascii="黑体" w:eastAsia="黑体"/>
          <w:b/>
          <w:sz w:val="44"/>
          <w:highlight w:val="none"/>
        </w:rPr>
      </w:pPr>
    </w:p>
    <w:p>
      <w:pPr>
        <w:spacing w:line="360" w:lineRule="auto"/>
        <w:jc w:val="center"/>
        <w:rPr>
          <w:rFonts w:ascii="黑体" w:eastAsia="黑体"/>
          <w:b/>
          <w:sz w:val="44"/>
          <w:highlight w:val="none"/>
        </w:rPr>
      </w:pPr>
    </w:p>
    <w:p>
      <w:pPr>
        <w:pStyle w:val="3"/>
        <w:jc w:val="center"/>
        <w:rPr>
          <w:rFonts w:hint="eastAsia"/>
          <w:sz w:val="44"/>
          <w:szCs w:val="44"/>
          <w:highlight w:val="none"/>
        </w:rPr>
      </w:pPr>
      <w:bookmarkStart w:id="91" w:name="_Toc465353222"/>
      <w:bookmarkStart w:id="92" w:name="_Toc23342"/>
      <w:bookmarkStart w:id="93" w:name="_Toc17801"/>
      <w:bookmarkStart w:id="94" w:name="_Toc12732"/>
      <w:bookmarkStart w:id="95" w:name="_Toc28505"/>
      <w:bookmarkStart w:id="96" w:name="_Toc14410"/>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sz w:val="32"/>
          <w:szCs w:val="32"/>
          <w:highlight w:val="none"/>
        </w:rPr>
      </w:pPr>
      <w:r>
        <w:rPr>
          <w:rFonts w:hint="eastAsia"/>
          <w:sz w:val="44"/>
          <w:szCs w:val="44"/>
          <w:highlight w:val="none"/>
        </w:rPr>
        <w:t>第五部分   响应文件格式</w:t>
      </w:r>
      <w:bookmarkEnd w:id="91"/>
      <w:bookmarkEnd w:id="92"/>
      <w:bookmarkEnd w:id="93"/>
      <w:bookmarkEnd w:id="94"/>
      <w:bookmarkEnd w:id="95"/>
      <w:bookmarkEnd w:id="96"/>
    </w:p>
    <w:p>
      <w:pPr>
        <w:spacing w:line="360" w:lineRule="auto"/>
        <w:jc w:val="center"/>
        <w:rPr>
          <w:rFonts w:ascii="黑体" w:eastAsia="黑体"/>
          <w:sz w:val="52"/>
          <w:highlight w:val="none"/>
        </w:rPr>
      </w:pPr>
    </w:p>
    <w:p>
      <w:pPr>
        <w:spacing w:line="360" w:lineRule="auto"/>
        <w:jc w:val="center"/>
        <w:rPr>
          <w:rFonts w:ascii="黑体" w:eastAsia="黑体"/>
          <w:sz w:val="52"/>
          <w:highlight w:val="none"/>
        </w:rPr>
      </w:pPr>
    </w:p>
    <w:p>
      <w:pPr>
        <w:spacing w:line="360" w:lineRule="auto"/>
        <w:jc w:val="center"/>
        <w:rPr>
          <w:rFonts w:ascii="黑体" w:eastAsia="黑体"/>
          <w:sz w:val="52"/>
          <w:highlight w:val="none"/>
        </w:rPr>
      </w:pPr>
    </w:p>
    <w:p>
      <w:pPr>
        <w:spacing w:line="360" w:lineRule="auto"/>
        <w:jc w:val="center"/>
        <w:rPr>
          <w:rFonts w:ascii="黑体" w:eastAsia="黑体"/>
          <w:sz w:val="52"/>
          <w:highlight w:val="none"/>
        </w:rPr>
      </w:pPr>
    </w:p>
    <w:p>
      <w:pPr>
        <w:spacing w:line="360" w:lineRule="auto"/>
        <w:jc w:val="center"/>
        <w:rPr>
          <w:rFonts w:ascii="黑体" w:eastAsia="黑体"/>
          <w:sz w:val="36"/>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pStyle w:val="23"/>
        <w:tabs>
          <w:tab w:val="left" w:pos="1260"/>
        </w:tabs>
        <w:jc w:val="center"/>
        <w:rPr>
          <w:rFonts w:hAnsi="宋体" w:eastAsia="楷体_GB2312"/>
          <w:b/>
          <w:sz w:val="108"/>
          <w:highlight w:val="none"/>
        </w:rPr>
      </w:pPr>
      <w:bookmarkStart w:id="97" w:name="_Hlt523219427"/>
      <w:bookmarkEnd w:id="97"/>
      <w:bookmarkStart w:id="98" w:name="_Toc1953"/>
      <w:bookmarkStart w:id="99" w:name="_Toc16733_WPSOffice_Level1"/>
      <w:bookmarkStart w:id="100" w:name="_Toc6770_WPSOffice_Level1"/>
      <w:bookmarkStart w:id="101" w:name="_Toc5302"/>
      <w:bookmarkStart w:id="102" w:name="_Toc10171"/>
      <w:bookmarkStart w:id="103" w:name="_Toc30739"/>
      <w:bookmarkStart w:id="104" w:name="_Toc28434"/>
      <w:bookmarkStart w:id="105" w:name="_Toc465353225"/>
      <w:bookmarkStart w:id="106" w:name="_Toc420490260"/>
      <w:bookmarkStart w:id="107" w:name="_Toc456949303"/>
      <w:bookmarkStart w:id="108" w:name="_Toc59959382"/>
      <w:r>
        <w:rPr>
          <w:rFonts w:hint="eastAsia" w:hAnsi="宋体" w:eastAsia="楷体_GB2312"/>
          <w:b/>
          <w:sz w:val="108"/>
          <w:highlight w:val="none"/>
        </w:rPr>
        <w:t>响应文件</w:t>
      </w:r>
    </w:p>
    <w:p>
      <w:pPr>
        <w:pStyle w:val="23"/>
        <w:jc w:val="center"/>
        <w:rPr>
          <w:rFonts w:ascii="Times New Roman" w:hAnsi="Times New Roman"/>
          <w:b/>
          <w:sz w:val="44"/>
          <w:szCs w:val="44"/>
          <w:highlight w:val="none"/>
        </w:rPr>
      </w:pPr>
      <w:r>
        <w:rPr>
          <w:rFonts w:hint="eastAsia" w:ascii="Times New Roman" w:hAnsi="Times New Roman"/>
          <w:b/>
          <w:sz w:val="44"/>
          <w:szCs w:val="44"/>
          <w:highlight w:val="none"/>
        </w:rPr>
        <w:t>（正本/副本）</w:t>
      </w:r>
    </w:p>
    <w:p>
      <w:pPr>
        <w:pStyle w:val="23"/>
        <w:jc w:val="center"/>
        <w:rPr>
          <w:rFonts w:ascii="Times New Roman" w:hAnsi="Times New Roman"/>
          <w:b/>
          <w:sz w:val="44"/>
          <w:szCs w:val="44"/>
          <w:highlight w:val="none"/>
        </w:rPr>
      </w:pPr>
    </w:p>
    <w:p>
      <w:pPr>
        <w:pStyle w:val="23"/>
        <w:rPr>
          <w:rFonts w:ascii="Times New Roman" w:hAnsi="Times New Roman"/>
          <w:b/>
          <w:sz w:val="44"/>
          <w:szCs w:val="44"/>
          <w:highlight w:val="none"/>
        </w:rPr>
      </w:pPr>
    </w:p>
    <w:p>
      <w:pPr>
        <w:pStyle w:val="23"/>
        <w:rPr>
          <w:rFonts w:ascii="Times New Roman" w:hAnsi="Times New Roman"/>
          <w:b/>
          <w:sz w:val="44"/>
          <w:szCs w:val="44"/>
          <w:highlight w:val="none"/>
        </w:rPr>
      </w:pPr>
    </w:p>
    <w:p>
      <w:pPr>
        <w:pStyle w:val="23"/>
        <w:rPr>
          <w:rFonts w:ascii="Times New Roman" w:hAnsi="Times New Roman"/>
          <w:b/>
          <w:sz w:val="44"/>
          <w:szCs w:val="44"/>
          <w:highlight w:val="none"/>
        </w:rPr>
      </w:pPr>
    </w:p>
    <w:p>
      <w:pPr>
        <w:pStyle w:val="23"/>
        <w:spacing w:line="360" w:lineRule="auto"/>
        <w:ind w:firstLine="1259" w:firstLineChars="448"/>
        <w:rPr>
          <w:rFonts w:ascii="Times New Roman" w:hAnsi="Times New Roman"/>
          <w:b/>
          <w:sz w:val="28"/>
          <w:szCs w:val="28"/>
          <w:highlight w:val="none"/>
          <w:u w:val="single"/>
        </w:rPr>
      </w:pPr>
      <w:r>
        <w:rPr>
          <w:rFonts w:hint="eastAsia" w:ascii="Times New Roman" w:hAnsi="Times New Roman"/>
          <w:b/>
          <w:sz w:val="28"/>
          <w:szCs w:val="28"/>
          <w:highlight w:val="none"/>
        </w:rPr>
        <w:t>项目名称：</w:t>
      </w:r>
      <w:r>
        <w:rPr>
          <w:rFonts w:hint="eastAsia" w:ascii="Times New Roman" w:hAnsi="Times New Roman"/>
          <w:b/>
          <w:sz w:val="28"/>
          <w:szCs w:val="28"/>
          <w:highlight w:val="none"/>
          <w:u w:val="single"/>
        </w:rPr>
        <w:t xml:space="preserve">                                                               </w:t>
      </w:r>
    </w:p>
    <w:p>
      <w:pPr>
        <w:pStyle w:val="23"/>
        <w:spacing w:line="360" w:lineRule="auto"/>
        <w:ind w:firstLine="1259" w:firstLineChars="448"/>
        <w:rPr>
          <w:rFonts w:ascii="Times New Roman" w:hAnsi="Times New Roman"/>
          <w:b/>
          <w:sz w:val="28"/>
          <w:szCs w:val="28"/>
          <w:highlight w:val="none"/>
          <w:u w:val="single"/>
        </w:rPr>
      </w:pPr>
    </w:p>
    <w:p>
      <w:pPr>
        <w:pStyle w:val="23"/>
        <w:spacing w:line="360" w:lineRule="auto"/>
        <w:ind w:firstLine="1259" w:firstLineChars="448"/>
        <w:rPr>
          <w:rFonts w:ascii="Times New Roman" w:hAnsi="Times New Roman"/>
          <w:b/>
          <w:sz w:val="28"/>
          <w:szCs w:val="28"/>
          <w:highlight w:val="none"/>
          <w:u w:val="single"/>
        </w:rPr>
      </w:pPr>
      <w:r>
        <w:rPr>
          <w:rFonts w:hint="eastAsia" w:ascii="Times New Roman" w:hAnsi="Times New Roman"/>
          <w:b/>
          <w:sz w:val="28"/>
          <w:szCs w:val="28"/>
          <w:highlight w:val="none"/>
        </w:rPr>
        <w:t>项目编号：</w:t>
      </w:r>
      <w:r>
        <w:rPr>
          <w:rFonts w:hint="eastAsia" w:ascii="Times New Roman" w:hAnsi="Times New Roman"/>
          <w:b/>
          <w:sz w:val="28"/>
          <w:szCs w:val="28"/>
          <w:highlight w:val="none"/>
          <w:u w:val="thick"/>
        </w:rPr>
        <w:t xml:space="preserve">     </w:t>
      </w:r>
      <w:r>
        <w:rPr>
          <w:rFonts w:hint="eastAsia" w:ascii="Times New Roman" w:hAnsi="Times New Roman"/>
          <w:b/>
          <w:sz w:val="28"/>
          <w:szCs w:val="28"/>
          <w:highlight w:val="none"/>
        </w:rPr>
        <w:t xml:space="preserve"> </w:t>
      </w:r>
      <w:r>
        <w:rPr>
          <w:rFonts w:hint="eastAsia" w:ascii="Times New Roman" w:hAnsi="Times New Roman"/>
          <w:b/>
          <w:sz w:val="28"/>
          <w:szCs w:val="28"/>
          <w:highlight w:val="none"/>
          <w:u w:val="thick"/>
        </w:rPr>
        <w:t xml:space="preserve">                                </w:t>
      </w:r>
    </w:p>
    <w:p>
      <w:pPr>
        <w:pStyle w:val="23"/>
        <w:ind w:firstLine="1439" w:firstLineChars="512"/>
        <w:rPr>
          <w:rFonts w:ascii="Times New Roman" w:hAnsi="Times New Roman"/>
          <w:b/>
          <w:sz w:val="28"/>
          <w:szCs w:val="28"/>
          <w:highlight w:val="none"/>
        </w:rPr>
      </w:pPr>
    </w:p>
    <w:p>
      <w:pPr>
        <w:pStyle w:val="23"/>
        <w:ind w:firstLine="2262" w:firstLineChars="512"/>
        <w:rPr>
          <w:rFonts w:ascii="Times New Roman" w:hAnsi="Times New Roman"/>
          <w:b/>
          <w:sz w:val="44"/>
          <w:szCs w:val="44"/>
          <w:highlight w:val="none"/>
        </w:rPr>
      </w:pPr>
    </w:p>
    <w:p>
      <w:pPr>
        <w:pStyle w:val="23"/>
        <w:ind w:firstLine="2262" w:firstLineChars="512"/>
        <w:rPr>
          <w:rFonts w:ascii="Times New Roman" w:hAnsi="Times New Roman"/>
          <w:b/>
          <w:sz w:val="44"/>
          <w:szCs w:val="44"/>
          <w:highlight w:val="none"/>
        </w:rPr>
      </w:pPr>
    </w:p>
    <w:p>
      <w:pPr>
        <w:pStyle w:val="23"/>
        <w:ind w:firstLine="2262" w:firstLineChars="512"/>
        <w:rPr>
          <w:rFonts w:ascii="Times New Roman" w:hAnsi="Times New Roman"/>
          <w:b/>
          <w:sz w:val="44"/>
          <w:szCs w:val="44"/>
          <w:highlight w:val="none"/>
        </w:rPr>
      </w:pPr>
    </w:p>
    <w:p>
      <w:pPr>
        <w:pStyle w:val="23"/>
        <w:spacing w:line="360" w:lineRule="auto"/>
        <w:ind w:firstLine="1276" w:firstLineChars="454"/>
        <w:rPr>
          <w:rFonts w:ascii="Times New Roman" w:hAnsi="Times New Roman"/>
          <w:b/>
          <w:sz w:val="28"/>
          <w:szCs w:val="28"/>
          <w:highlight w:val="none"/>
        </w:rPr>
      </w:pPr>
      <w:r>
        <w:rPr>
          <w:rFonts w:hint="eastAsia" w:ascii="Times New Roman" w:hAnsi="Times New Roman"/>
          <w:b/>
          <w:sz w:val="28"/>
          <w:szCs w:val="28"/>
          <w:highlight w:val="none"/>
        </w:rPr>
        <w:t>供应商名称（并加盖公章）：</w:t>
      </w:r>
      <w:r>
        <w:rPr>
          <w:rFonts w:hint="eastAsia" w:ascii="Times New Roman" w:hAnsi="Times New Roman"/>
          <w:b/>
          <w:sz w:val="28"/>
          <w:szCs w:val="28"/>
          <w:highlight w:val="none"/>
          <w:u w:val="single"/>
        </w:rPr>
        <w:t xml:space="preserve">                                                          </w:t>
      </w:r>
    </w:p>
    <w:p>
      <w:pPr>
        <w:pStyle w:val="23"/>
        <w:spacing w:line="360" w:lineRule="auto"/>
        <w:ind w:firstLine="1276" w:firstLineChars="454"/>
        <w:rPr>
          <w:rFonts w:ascii="Times New Roman" w:hAnsi="Times New Roman"/>
          <w:b/>
          <w:sz w:val="28"/>
          <w:szCs w:val="28"/>
          <w:highlight w:val="none"/>
        </w:rPr>
      </w:pPr>
      <w:r>
        <w:rPr>
          <w:rFonts w:hint="eastAsia" w:ascii="Times New Roman" w:hAnsi="Times New Roman"/>
          <w:b/>
          <w:sz w:val="28"/>
          <w:szCs w:val="28"/>
          <w:highlight w:val="none"/>
        </w:rPr>
        <w:t>供应商法定代表人或其委托人签字：</w:t>
      </w:r>
      <w:r>
        <w:rPr>
          <w:rFonts w:hint="eastAsia" w:ascii="Times New Roman" w:hAnsi="Times New Roman"/>
          <w:b/>
          <w:sz w:val="28"/>
          <w:szCs w:val="28"/>
          <w:highlight w:val="none"/>
          <w:u w:val="single"/>
        </w:rPr>
        <w:t xml:space="preserve">                                      </w:t>
      </w:r>
    </w:p>
    <w:p>
      <w:pPr>
        <w:pStyle w:val="23"/>
        <w:spacing w:line="360" w:lineRule="auto"/>
        <w:ind w:firstLine="1276" w:firstLineChars="454"/>
        <w:rPr>
          <w:rFonts w:ascii="Times New Roman" w:hAnsi="Times New Roman"/>
          <w:b/>
          <w:sz w:val="28"/>
          <w:szCs w:val="28"/>
          <w:highlight w:val="none"/>
        </w:rPr>
      </w:pPr>
      <w:r>
        <w:rPr>
          <w:rFonts w:hint="eastAsia" w:ascii="Times New Roman" w:hAnsi="Times New Roman"/>
          <w:b/>
          <w:sz w:val="28"/>
          <w:szCs w:val="28"/>
          <w:highlight w:val="none"/>
        </w:rPr>
        <w:t>日     期：</w:t>
      </w:r>
      <w:r>
        <w:rPr>
          <w:rFonts w:hint="eastAsia" w:ascii="Times New Roman" w:hAnsi="Times New Roman"/>
          <w:b/>
          <w:sz w:val="28"/>
          <w:szCs w:val="28"/>
          <w:highlight w:val="none"/>
          <w:u w:val="single"/>
        </w:rPr>
        <w:t xml:space="preserve">              </w:t>
      </w:r>
      <w:r>
        <w:rPr>
          <w:rFonts w:hint="eastAsia" w:ascii="Times New Roman" w:hAnsi="Times New Roman"/>
          <w:b/>
          <w:sz w:val="28"/>
          <w:szCs w:val="28"/>
          <w:highlight w:val="none"/>
        </w:rPr>
        <w:t>年</w:t>
      </w:r>
      <w:r>
        <w:rPr>
          <w:rFonts w:hint="eastAsia" w:ascii="Times New Roman" w:hAnsi="Times New Roman"/>
          <w:b/>
          <w:sz w:val="28"/>
          <w:szCs w:val="28"/>
          <w:highlight w:val="none"/>
          <w:u w:val="single"/>
        </w:rPr>
        <w:t xml:space="preserve">            </w:t>
      </w:r>
      <w:r>
        <w:rPr>
          <w:rFonts w:hint="eastAsia" w:ascii="Times New Roman" w:hAnsi="Times New Roman"/>
          <w:b/>
          <w:sz w:val="28"/>
          <w:szCs w:val="28"/>
          <w:highlight w:val="none"/>
        </w:rPr>
        <w:t>月</w:t>
      </w:r>
      <w:r>
        <w:rPr>
          <w:rFonts w:hint="eastAsia" w:ascii="Times New Roman" w:hAnsi="Times New Roman"/>
          <w:b/>
          <w:sz w:val="28"/>
          <w:szCs w:val="28"/>
          <w:highlight w:val="none"/>
          <w:u w:val="single"/>
        </w:rPr>
        <w:t xml:space="preserve">               </w:t>
      </w:r>
      <w:r>
        <w:rPr>
          <w:rFonts w:hint="eastAsia" w:ascii="Times New Roman" w:hAnsi="Times New Roman"/>
          <w:b/>
          <w:sz w:val="28"/>
          <w:szCs w:val="28"/>
          <w:highlight w:val="none"/>
        </w:rPr>
        <w:t>日</w:t>
      </w:r>
    </w:p>
    <w:p>
      <w:pPr>
        <w:autoSpaceDE w:val="0"/>
        <w:autoSpaceDN w:val="0"/>
        <w:spacing w:line="240" w:lineRule="atLeast"/>
        <w:rPr>
          <w:rFonts w:ascii="宋体" w:hAnsi="宋体"/>
          <w:b/>
          <w:sz w:val="28"/>
          <w:szCs w:val="28"/>
          <w:highlight w:val="none"/>
          <w:u w:val="single"/>
        </w:rPr>
      </w:pPr>
    </w:p>
    <w:p>
      <w:pPr>
        <w:autoSpaceDE w:val="0"/>
        <w:autoSpaceDN w:val="0"/>
        <w:spacing w:line="240" w:lineRule="atLeast"/>
        <w:rPr>
          <w:rFonts w:ascii="宋体" w:hAnsi="宋体"/>
          <w:b/>
          <w:sz w:val="28"/>
          <w:szCs w:val="28"/>
          <w:highlight w:val="none"/>
          <w:u w:val="single"/>
        </w:rPr>
      </w:pPr>
    </w:p>
    <w:p>
      <w:pPr>
        <w:autoSpaceDE w:val="0"/>
        <w:autoSpaceDN w:val="0"/>
        <w:spacing w:line="240" w:lineRule="atLeast"/>
        <w:rPr>
          <w:rFonts w:ascii="宋体" w:hAnsi="宋体"/>
          <w:b/>
          <w:sz w:val="28"/>
          <w:szCs w:val="28"/>
          <w:highlight w:val="none"/>
          <w:u w:val="single"/>
        </w:rPr>
      </w:pPr>
    </w:p>
    <w:p>
      <w:pPr>
        <w:pStyle w:val="40"/>
        <w:ind w:firstLine="281"/>
        <w:rPr>
          <w:rFonts w:ascii="宋体" w:hAnsi="宋体"/>
          <w:b/>
          <w:sz w:val="28"/>
          <w:szCs w:val="28"/>
          <w:highlight w:val="none"/>
          <w:u w:val="single"/>
        </w:rPr>
      </w:pPr>
    </w:p>
    <w:p>
      <w:pPr>
        <w:pStyle w:val="40"/>
        <w:ind w:firstLine="281"/>
        <w:rPr>
          <w:rFonts w:ascii="宋体" w:hAnsi="宋体"/>
          <w:b/>
          <w:sz w:val="28"/>
          <w:szCs w:val="28"/>
          <w:highlight w:val="none"/>
          <w:u w:val="single"/>
        </w:rPr>
      </w:pPr>
    </w:p>
    <w:p>
      <w:pPr>
        <w:pStyle w:val="4"/>
        <w:spacing w:before="157" w:after="157"/>
        <w:rPr>
          <w:rFonts w:ascii="Times New Roman" w:hAnsi="Times New Roman" w:cs="Times New Roman"/>
          <w:bCs/>
          <w:color w:val="auto"/>
          <w:sz w:val="28"/>
          <w:szCs w:val="28"/>
          <w:highlight w:val="none"/>
        </w:rPr>
      </w:pPr>
      <w:bookmarkStart w:id="109" w:name="_Toc5450"/>
      <w:r>
        <w:rPr>
          <w:rFonts w:hint="eastAsia" w:ascii="Times New Roman" w:hAnsi="Times New Roman" w:cs="Times New Roman"/>
          <w:bCs/>
          <w:color w:val="auto"/>
          <w:sz w:val="32"/>
          <w:szCs w:val="32"/>
          <w:highlight w:val="none"/>
        </w:rPr>
        <w:t>自查表</w:t>
      </w:r>
      <w:bookmarkEnd w:id="98"/>
      <w:bookmarkEnd w:id="99"/>
      <w:bookmarkEnd w:id="100"/>
      <w:bookmarkEnd w:id="101"/>
      <w:bookmarkEnd w:id="102"/>
      <w:bookmarkEnd w:id="103"/>
      <w:bookmarkEnd w:id="104"/>
      <w:bookmarkEnd w:id="109"/>
      <w:bookmarkStart w:id="110" w:name="_Toc10830"/>
      <w:bookmarkStart w:id="111" w:name="_Toc12777"/>
      <w:bookmarkStart w:id="112" w:name="_Toc1368"/>
    </w:p>
    <w:p>
      <w:pPr>
        <w:rPr>
          <w:highlight w:val="none"/>
        </w:rPr>
      </w:pPr>
      <w:r>
        <w:rPr>
          <w:rFonts w:hint="eastAsia"/>
          <w:highlight w:val="none"/>
        </w:rPr>
        <w:t>符合性自查表</w:t>
      </w:r>
      <w:bookmarkEnd w:id="110"/>
      <w:bookmarkEnd w:id="111"/>
      <w:bookmarkEnd w:id="112"/>
    </w:p>
    <w:p>
      <w:pPr>
        <w:pStyle w:val="5"/>
        <w:ind w:left="1146"/>
        <w:rPr>
          <w:highlight w:val="none"/>
        </w:rPr>
      </w:pPr>
    </w:p>
    <w:tbl>
      <w:tblPr>
        <w:tblStyle w:val="41"/>
        <w:tblpPr w:leftFromText="180" w:rightFromText="180" w:vertAnchor="text" w:horzAnchor="page" w:tblpX="1268" w:tblpY="226"/>
        <w:tblOverlap w:val="never"/>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4087"/>
        <w:gridCol w:w="218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pStyle w:val="56"/>
              <w:rPr>
                <w:color w:val="auto"/>
                <w:sz w:val="23"/>
                <w:szCs w:val="23"/>
                <w:highlight w:val="none"/>
              </w:rPr>
            </w:pPr>
            <w:r>
              <w:rPr>
                <w:rFonts w:hint="eastAsia"/>
                <w:color w:val="auto"/>
                <w:sz w:val="23"/>
                <w:szCs w:val="23"/>
                <w:highlight w:val="none"/>
              </w:rPr>
              <w:t>评审内容</w:t>
            </w:r>
            <w:r>
              <w:rPr>
                <w:color w:val="auto"/>
                <w:sz w:val="23"/>
                <w:szCs w:val="23"/>
                <w:highlight w:val="none"/>
              </w:rPr>
              <w:t xml:space="preserve"> </w:t>
            </w:r>
          </w:p>
        </w:tc>
        <w:tc>
          <w:tcPr>
            <w:tcW w:w="4087" w:type="dxa"/>
          </w:tcPr>
          <w:p>
            <w:pPr>
              <w:ind w:left="40" w:leftChars="19"/>
              <w:jc w:val="center"/>
              <w:rPr>
                <w:rFonts w:ascii="宋体" w:hAnsi="宋体"/>
                <w:szCs w:val="21"/>
                <w:highlight w:val="none"/>
              </w:rPr>
            </w:pPr>
            <w:r>
              <w:rPr>
                <w:rFonts w:hint="eastAsia"/>
                <w:bCs/>
                <w:szCs w:val="21"/>
                <w:highlight w:val="none"/>
              </w:rPr>
              <w:t>招标文件要求</w:t>
            </w:r>
          </w:p>
          <w:p>
            <w:pPr>
              <w:pStyle w:val="56"/>
              <w:jc w:val="center"/>
              <w:rPr>
                <w:color w:val="auto"/>
                <w:sz w:val="21"/>
                <w:szCs w:val="21"/>
                <w:highlight w:val="none"/>
              </w:rPr>
            </w:pPr>
            <w:r>
              <w:rPr>
                <w:rFonts w:hint="eastAsia" w:hAnsi="宋体"/>
                <w:color w:val="auto"/>
                <w:szCs w:val="21"/>
                <w:highlight w:val="none"/>
              </w:rPr>
              <w:t>（详见《</w:t>
            </w:r>
            <w:r>
              <w:rPr>
                <w:rFonts w:hint="eastAsia"/>
                <w:color w:val="auto"/>
                <w:sz w:val="23"/>
                <w:szCs w:val="23"/>
                <w:highlight w:val="none"/>
              </w:rPr>
              <w:t>符合性</w:t>
            </w:r>
            <w:r>
              <w:rPr>
                <w:rFonts w:hint="eastAsia" w:hAnsi="宋体"/>
                <w:color w:val="auto"/>
                <w:szCs w:val="21"/>
                <w:highlight w:val="none"/>
              </w:rPr>
              <w:t>审查表》各项）</w:t>
            </w:r>
          </w:p>
        </w:tc>
        <w:tc>
          <w:tcPr>
            <w:tcW w:w="2189" w:type="dxa"/>
            <w:vAlign w:val="center"/>
          </w:tcPr>
          <w:p>
            <w:pPr>
              <w:pStyle w:val="56"/>
              <w:jc w:val="center"/>
              <w:rPr>
                <w:color w:val="auto"/>
                <w:sz w:val="21"/>
                <w:szCs w:val="21"/>
                <w:highlight w:val="none"/>
              </w:rPr>
            </w:pPr>
            <w:r>
              <w:rPr>
                <w:rFonts w:hint="eastAsia"/>
                <w:color w:val="auto"/>
                <w:sz w:val="21"/>
                <w:szCs w:val="21"/>
                <w:highlight w:val="none"/>
              </w:rPr>
              <w:t>自查结论</w:t>
            </w:r>
          </w:p>
        </w:tc>
        <w:tc>
          <w:tcPr>
            <w:tcW w:w="2136" w:type="dxa"/>
            <w:vAlign w:val="center"/>
          </w:tcPr>
          <w:p>
            <w:pPr>
              <w:pStyle w:val="56"/>
              <w:jc w:val="center"/>
              <w:rPr>
                <w:color w:val="auto"/>
                <w:sz w:val="23"/>
                <w:szCs w:val="23"/>
                <w:highlight w:val="none"/>
              </w:rPr>
            </w:pPr>
            <w:r>
              <w:rPr>
                <w:rFonts w:hint="eastAsia"/>
                <w:color w:val="auto"/>
                <w:sz w:val="23"/>
                <w:szCs w:val="23"/>
                <w:highlight w:val="none"/>
              </w:rPr>
              <w:t>证明资料页码范围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vAlign w:val="center"/>
          </w:tcPr>
          <w:p>
            <w:pPr>
              <w:pStyle w:val="56"/>
              <w:jc w:val="center"/>
              <w:rPr>
                <w:color w:val="auto"/>
                <w:sz w:val="23"/>
                <w:szCs w:val="23"/>
                <w:highlight w:val="none"/>
              </w:rPr>
            </w:pPr>
            <w:r>
              <w:rPr>
                <w:rFonts w:hint="eastAsia"/>
                <w:color w:val="auto"/>
                <w:sz w:val="23"/>
                <w:szCs w:val="23"/>
                <w:highlight w:val="none"/>
              </w:rPr>
              <w:t>符合性审查文件</w:t>
            </w:r>
          </w:p>
        </w:tc>
        <w:tc>
          <w:tcPr>
            <w:tcW w:w="4087" w:type="dxa"/>
            <w:vAlign w:val="center"/>
          </w:tcPr>
          <w:p>
            <w:pPr>
              <w:pStyle w:val="56"/>
              <w:rPr>
                <w:color w:val="auto"/>
                <w:sz w:val="21"/>
                <w:szCs w:val="21"/>
                <w:highlight w:val="none"/>
              </w:rPr>
            </w:pPr>
            <w:r>
              <w:rPr>
                <w:rFonts w:hint="eastAsia"/>
                <w:color w:val="auto"/>
                <w:sz w:val="21"/>
                <w:szCs w:val="21"/>
                <w:highlight w:val="none"/>
              </w:rPr>
              <w:t>报价人符合合格报价人的基本条件</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响应文件有效期</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响应文件主要资料齐全</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响应文件签署合格</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报价价格唯一固定</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报价无重大漏项或重大不合理</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首次报价和绿色施工安全防护措施费符合本项目规定的范围</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hAnsi="宋体"/>
                <w:bCs/>
                <w:szCs w:val="21"/>
                <w:highlight w:val="none"/>
              </w:rPr>
            </w:pPr>
            <w:r>
              <w:rPr>
                <w:rFonts w:hint="eastAsia" w:hAnsi="宋体"/>
                <w:bCs/>
                <w:szCs w:val="21"/>
                <w:highlight w:val="none"/>
              </w:rPr>
              <w:t>重要响应指标和★号条款满足要求</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hAnsi="宋体"/>
                <w:bCs/>
                <w:szCs w:val="21"/>
                <w:highlight w:val="none"/>
              </w:rPr>
            </w:pPr>
            <w:r>
              <w:rPr>
                <w:rFonts w:hint="eastAsia" w:ascii="宋体" w:hAnsi="宋体"/>
                <w:bCs/>
                <w:szCs w:val="21"/>
                <w:highlight w:val="none"/>
              </w:rPr>
              <w:t>商务无重大保留或偏差</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hAnsi="宋体"/>
                <w:bCs/>
                <w:szCs w:val="21"/>
                <w:highlight w:val="none"/>
              </w:rPr>
            </w:pPr>
            <w:r>
              <w:rPr>
                <w:rFonts w:hint="eastAsia" w:ascii="宋体" w:hAnsi="宋体"/>
                <w:bCs/>
                <w:szCs w:val="21"/>
                <w:highlight w:val="none"/>
              </w:rPr>
              <w:t>实质性响应磋商文件</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bl>
    <w:p>
      <w:pPr>
        <w:jc w:val="center"/>
        <w:rPr>
          <w:b/>
          <w:bCs/>
          <w:sz w:val="28"/>
          <w:highlight w:val="none"/>
        </w:rPr>
      </w:pPr>
      <w:bookmarkStart w:id="262" w:name="_GoBack"/>
      <w:bookmarkEnd w:id="262"/>
    </w:p>
    <w:p>
      <w:pPr>
        <w:jc w:val="center"/>
        <w:rPr>
          <w:b/>
          <w:bCs/>
          <w:sz w:val="28"/>
          <w:highlight w:val="none"/>
        </w:rPr>
      </w:pPr>
    </w:p>
    <w:p>
      <w:pPr>
        <w:jc w:val="center"/>
        <w:rPr>
          <w:b/>
          <w:bCs/>
          <w:sz w:val="28"/>
          <w:highlight w:val="none"/>
        </w:rPr>
      </w:pPr>
      <w:r>
        <w:rPr>
          <w:rFonts w:hint="eastAsia"/>
          <w:b/>
          <w:bCs/>
          <w:sz w:val="28"/>
          <w:highlight w:val="none"/>
        </w:rPr>
        <w:t>技术商务评审自查表</w:t>
      </w:r>
    </w:p>
    <w:p>
      <w:pPr>
        <w:jc w:val="center"/>
        <w:rPr>
          <w:b/>
          <w:bCs/>
          <w:sz w:val="28"/>
          <w:highlight w:val="none"/>
        </w:rPr>
      </w:pPr>
    </w:p>
    <w:p>
      <w:pPr>
        <w:jc w:val="center"/>
        <w:rPr>
          <w:b/>
          <w:bCs/>
          <w:sz w:val="28"/>
          <w:highlight w:val="none"/>
        </w:rPr>
      </w:pPr>
    </w:p>
    <w:tbl>
      <w:tblPr>
        <w:tblStyle w:val="41"/>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2117"/>
        <w:gridCol w:w="3651"/>
        <w:gridCol w:w="3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b/>
                <w:szCs w:val="21"/>
                <w:highlight w:val="none"/>
              </w:rPr>
            </w:pPr>
            <w:r>
              <w:rPr>
                <w:rFonts w:hint="eastAsia" w:ascii="宋体" w:hAnsi="宋体"/>
                <w:b/>
                <w:szCs w:val="21"/>
                <w:highlight w:val="none"/>
              </w:rPr>
              <w:t>序号</w:t>
            </w:r>
          </w:p>
        </w:tc>
        <w:tc>
          <w:tcPr>
            <w:tcW w:w="2117" w:type="dxa"/>
            <w:vAlign w:val="center"/>
          </w:tcPr>
          <w:p>
            <w:pPr>
              <w:jc w:val="center"/>
              <w:rPr>
                <w:rFonts w:ascii="宋体" w:hAnsi="宋体"/>
                <w:b/>
                <w:szCs w:val="21"/>
                <w:highlight w:val="none"/>
              </w:rPr>
            </w:pPr>
            <w:r>
              <w:rPr>
                <w:rFonts w:hint="eastAsia" w:ascii="宋体" w:hAnsi="宋体"/>
                <w:b/>
                <w:szCs w:val="21"/>
                <w:highlight w:val="none"/>
              </w:rPr>
              <w:t>评审分项</w:t>
            </w:r>
          </w:p>
        </w:tc>
        <w:tc>
          <w:tcPr>
            <w:tcW w:w="3651" w:type="dxa"/>
            <w:vAlign w:val="center"/>
          </w:tcPr>
          <w:p>
            <w:pPr>
              <w:jc w:val="center"/>
              <w:rPr>
                <w:rFonts w:ascii="宋体" w:hAnsi="宋体"/>
                <w:b/>
                <w:szCs w:val="21"/>
                <w:highlight w:val="none"/>
              </w:rPr>
            </w:pPr>
            <w:r>
              <w:rPr>
                <w:rFonts w:hint="eastAsia" w:ascii="宋体" w:hAnsi="宋体"/>
                <w:b/>
                <w:szCs w:val="21"/>
                <w:highlight w:val="none"/>
              </w:rPr>
              <w:t>内容</w:t>
            </w:r>
          </w:p>
        </w:tc>
        <w:tc>
          <w:tcPr>
            <w:tcW w:w="3320" w:type="dxa"/>
            <w:vAlign w:val="center"/>
          </w:tcPr>
          <w:p>
            <w:pPr>
              <w:jc w:val="center"/>
              <w:rPr>
                <w:rFonts w:ascii="宋体" w:hAnsi="宋体"/>
                <w:b/>
                <w:szCs w:val="21"/>
                <w:highlight w:val="none"/>
              </w:rPr>
            </w:pPr>
            <w:r>
              <w:rPr>
                <w:rFonts w:hint="eastAsia" w:ascii="宋体" w:hAnsi="宋体"/>
                <w:b/>
                <w:szCs w:val="21"/>
                <w:highlight w:val="none"/>
              </w:rPr>
              <w:t>证明文件（如有）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1</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2</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3</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4</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5</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6</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7</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p>
        </w:tc>
      </w:tr>
    </w:tbl>
    <w:p>
      <w:pPr>
        <w:pStyle w:val="18"/>
        <w:spacing w:after="0"/>
        <w:ind w:left="424" w:hanging="424" w:hangingChars="202"/>
        <w:rPr>
          <w:rFonts w:ascii="宋体" w:hAnsi="宋体"/>
          <w:sz w:val="21"/>
          <w:szCs w:val="21"/>
          <w:highlight w:val="none"/>
          <w:lang w:val="en-GB"/>
        </w:rPr>
      </w:pPr>
      <w:r>
        <w:rPr>
          <w:rFonts w:hint="eastAsia" w:ascii="宋体" w:hAnsi="宋体"/>
          <w:sz w:val="21"/>
          <w:szCs w:val="21"/>
          <w:highlight w:val="none"/>
          <w:lang w:val="en-GB"/>
        </w:rPr>
        <w:t>注：</w:t>
      </w:r>
      <w:r>
        <w:rPr>
          <w:rFonts w:hint="eastAsia" w:ascii="宋体" w:hAnsi="宋体"/>
          <w:sz w:val="21"/>
          <w:szCs w:val="21"/>
          <w:highlight w:val="none"/>
        </w:rPr>
        <w:t>供应商应根据《技术商务评分表》的各项内容填写此表</w:t>
      </w:r>
      <w:r>
        <w:rPr>
          <w:rFonts w:hint="eastAsia" w:ascii="宋体" w:hAnsi="宋体"/>
          <w:sz w:val="21"/>
          <w:szCs w:val="21"/>
          <w:highlight w:val="none"/>
          <w:lang w:val="en-GB"/>
        </w:rPr>
        <w:t>。</w:t>
      </w:r>
    </w:p>
    <w:p>
      <w:pPr>
        <w:pStyle w:val="18"/>
        <w:spacing w:after="0"/>
        <w:rPr>
          <w:rFonts w:ascii="宋体" w:hAnsi="宋体"/>
          <w:sz w:val="21"/>
          <w:szCs w:val="21"/>
          <w:highlight w:val="none"/>
          <w:lang w:val="en-GB"/>
        </w:rPr>
      </w:pPr>
    </w:p>
    <w:p>
      <w:pPr>
        <w:adjustRightInd w:val="0"/>
        <w:snapToGrid w:val="0"/>
        <w:spacing w:line="300" w:lineRule="auto"/>
        <w:rPr>
          <w:szCs w:val="21"/>
          <w:highlight w:val="none"/>
          <w:u w:val="single"/>
        </w:rPr>
      </w:pPr>
      <w:r>
        <w:rPr>
          <w:rFonts w:hint="eastAsia" w:ascii="宋体" w:hAnsi="宋体"/>
          <w:szCs w:val="21"/>
          <w:highlight w:val="none"/>
        </w:rPr>
        <w:t>供应商</w:t>
      </w:r>
      <w:r>
        <w:rPr>
          <w:rFonts w:hint="eastAsia"/>
          <w:szCs w:val="21"/>
          <w:highlight w:val="none"/>
        </w:rPr>
        <w:t>代表签字：</w:t>
      </w:r>
      <w:r>
        <w:rPr>
          <w:szCs w:val="21"/>
          <w:highlight w:val="none"/>
          <w:u w:val="single"/>
        </w:rPr>
        <w:t xml:space="preserve">                   </w:t>
      </w:r>
    </w:p>
    <w:p>
      <w:pPr>
        <w:adjustRightInd w:val="0"/>
        <w:snapToGrid w:val="0"/>
        <w:spacing w:line="300" w:lineRule="auto"/>
        <w:rPr>
          <w:szCs w:val="21"/>
          <w:highlight w:val="none"/>
          <w:u w:val="single"/>
        </w:rPr>
      </w:pPr>
      <w:r>
        <w:rPr>
          <w:rFonts w:hint="eastAsia" w:ascii="宋体" w:hAnsi="宋体"/>
          <w:szCs w:val="21"/>
          <w:highlight w:val="none"/>
        </w:rPr>
        <w:t>供应商</w:t>
      </w:r>
      <w:r>
        <w:rPr>
          <w:rFonts w:hint="eastAsia"/>
          <w:szCs w:val="21"/>
          <w:highlight w:val="none"/>
        </w:rPr>
        <w:t>名称（盖章）：</w:t>
      </w:r>
      <w:r>
        <w:rPr>
          <w:szCs w:val="21"/>
          <w:highlight w:val="none"/>
          <w:u w:val="single"/>
        </w:rPr>
        <w:t xml:space="preserve">                        </w:t>
      </w:r>
    </w:p>
    <w:p>
      <w:pPr>
        <w:pStyle w:val="18"/>
        <w:spacing w:after="0"/>
        <w:rPr>
          <w:rFonts w:ascii="宋体" w:hAnsi="宋体"/>
          <w:sz w:val="21"/>
          <w:szCs w:val="21"/>
          <w:highlight w:val="none"/>
          <w:lang w:val="en-GB"/>
        </w:rPr>
      </w:pPr>
      <w:r>
        <w:rPr>
          <w:rFonts w:hint="eastAsia"/>
          <w:sz w:val="21"/>
          <w:szCs w:val="21"/>
          <w:highlight w:val="none"/>
        </w:rPr>
        <w:t>日期：</w:t>
      </w:r>
      <w:r>
        <w:rPr>
          <w:sz w:val="21"/>
          <w:szCs w:val="21"/>
          <w:highlight w:val="none"/>
        </w:rPr>
        <w:t xml:space="preserve">   </w:t>
      </w:r>
      <w:r>
        <w:rPr>
          <w:rFonts w:hint="eastAsia"/>
          <w:sz w:val="21"/>
          <w:szCs w:val="21"/>
          <w:highlight w:val="none"/>
        </w:rPr>
        <w:t>年</w:t>
      </w:r>
      <w:r>
        <w:rPr>
          <w:sz w:val="21"/>
          <w:szCs w:val="21"/>
          <w:highlight w:val="none"/>
        </w:rPr>
        <w:t xml:space="preserve">   </w:t>
      </w:r>
      <w:r>
        <w:rPr>
          <w:rFonts w:hint="eastAsia"/>
          <w:sz w:val="21"/>
          <w:szCs w:val="21"/>
          <w:highlight w:val="none"/>
        </w:rPr>
        <w:t>月</w:t>
      </w:r>
      <w:r>
        <w:rPr>
          <w:sz w:val="21"/>
          <w:szCs w:val="21"/>
          <w:highlight w:val="none"/>
        </w:rPr>
        <w:t xml:space="preserve">   </w:t>
      </w:r>
      <w:r>
        <w:rPr>
          <w:rFonts w:hint="eastAsia"/>
          <w:sz w:val="21"/>
          <w:szCs w:val="21"/>
          <w:highlight w:val="none"/>
        </w:rPr>
        <w:t>日</w:t>
      </w:r>
    </w:p>
    <w:p>
      <w:pPr>
        <w:rPr>
          <w:highlight w:val="none"/>
        </w:rPr>
      </w:pPr>
    </w:p>
    <w:p>
      <w:pPr>
        <w:rPr>
          <w:highlight w:val="none"/>
        </w:rPr>
      </w:pPr>
    </w:p>
    <w:p>
      <w:pPr>
        <w:rPr>
          <w:highlight w:val="none"/>
        </w:rPr>
      </w:pPr>
    </w:p>
    <w:p>
      <w:pPr>
        <w:rPr>
          <w:highlight w:val="none"/>
        </w:rPr>
      </w:pPr>
    </w:p>
    <w:p>
      <w:pPr>
        <w:rPr>
          <w:highlight w:val="none"/>
        </w:rPr>
      </w:pPr>
    </w:p>
    <w:p>
      <w:pPr>
        <w:pStyle w:val="4"/>
        <w:spacing w:before="157" w:after="157"/>
        <w:rPr>
          <w:color w:val="auto"/>
          <w:highlight w:val="none"/>
        </w:rPr>
      </w:pPr>
      <w:bookmarkStart w:id="113" w:name="_Toc10693_WPSOffice_Level2"/>
      <w:bookmarkStart w:id="114" w:name="_Toc16925"/>
      <w:bookmarkStart w:id="115" w:name="_Toc25092"/>
      <w:bookmarkStart w:id="116" w:name="_Toc30139"/>
      <w:r>
        <w:rPr>
          <w:rFonts w:hint="eastAsia"/>
          <w:color w:val="auto"/>
          <w:highlight w:val="none"/>
        </w:rPr>
        <w:t>表5</w:t>
      </w:r>
      <w:r>
        <w:rPr>
          <w:color w:val="auto"/>
          <w:highlight w:val="none"/>
        </w:rPr>
        <w:t>-1</w:t>
      </w:r>
      <w:r>
        <w:rPr>
          <w:rFonts w:hint="eastAsia"/>
          <w:color w:val="auto"/>
          <w:highlight w:val="none"/>
        </w:rPr>
        <w:t xml:space="preserve">  报价函</w:t>
      </w:r>
      <w:bookmarkEnd w:id="105"/>
      <w:bookmarkEnd w:id="106"/>
      <w:bookmarkEnd w:id="107"/>
      <w:bookmarkEnd w:id="113"/>
      <w:bookmarkEnd w:id="114"/>
      <w:bookmarkEnd w:id="115"/>
      <w:bookmarkEnd w:id="116"/>
    </w:p>
    <w:p>
      <w:pPr>
        <w:spacing w:before="157" w:beforeLines="50" w:after="157" w:afterLines="50" w:line="440" w:lineRule="exact"/>
        <w:rPr>
          <w:rFonts w:hint="eastAsia" w:ascii="宋体" w:hAnsi="宋体" w:eastAsia="宋体" w:cs="Arial"/>
          <w:highlight w:val="none"/>
          <w:lang w:eastAsia="zh-CN"/>
        </w:rPr>
      </w:pPr>
      <w:r>
        <w:rPr>
          <w:rFonts w:hint="eastAsia" w:ascii="宋体" w:hAnsi="宋体" w:cs="Arial"/>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p>
    <w:p>
      <w:pPr>
        <w:spacing w:before="157" w:beforeLines="50" w:after="157" w:afterLines="50" w:line="440" w:lineRule="exact"/>
        <w:ind w:firstLine="420"/>
        <w:rPr>
          <w:rFonts w:ascii="宋体" w:hAnsi="宋体" w:cs="Arial"/>
          <w:highlight w:val="none"/>
        </w:rPr>
      </w:pPr>
      <w:r>
        <w:rPr>
          <w:rFonts w:hint="eastAsia" w:ascii="宋体" w:hAnsi="宋体" w:cs="Arial"/>
          <w:highlight w:val="none"/>
        </w:rPr>
        <w:t>根据贵方的</w:t>
      </w:r>
      <w:r>
        <w:rPr>
          <w:rFonts w:hint="eastAsia" w:ascii="宋体" w:hAnsi="宋体" w:cs="Arial"/>
          <w:highlight w:val="none"/>
          <w:lang w:eastAsia="zh-CN"/>
        </w:rPr>
        <w:t>俊景路观景路改造提升</w:t>
      </w:r>
      <w:r>
        <w:rPr>
          <w:rFonts w:hint="eastAsia" w:ascii="宋体" w:hAnsi="宋体" w:cs="Arial"/>
          <w:highlight w:val="none"/>
        </w:rPr>
        <w:t>的磋商公告(项目编号：</w:t>
      </w:r>
      <w:r>
        <w:rPr>
          <w:rFonts w:hint="eastAsia" w:ascii="宋体" w:hAnsi="宋体" w:cs="Arial"/>
          <w:highlight w:val="none"/>
          <w:lang w:eastAsia="zh-CN"/>
        </w:rPr>
        <w:t>XYGL202403CSC001</w:t>
      </w:r>
      <w:r>
        <w:rPr>
          <w:rFonts w:hint="eastAsia" w:ascii="宋体" w:hAnsi="宋体" w:cs="Arial"/>
          <w:highlight w:val="none"/>
        </w:rPr>
        <w:t xml:space="preserve">)，签名代表  </w:t>
      </w:r>
      <w:r>
        <w:rPr>
          <w:rFonts w:hint="eastAsia" w:ascii="宋体" w:hAnsi="宋体" w:cs="Arial"/>
          <w:highlight w:val="none"/>
          <w:u w:val="single"/>
        </w:rPr>
        <w:t xml:space="preserve">       （姓名、职务）        </w:t>
      </w:r>
      <w:r>
        <w:rPr>
          <w:rFonts w:hint="eastAsia" w:ascii="宋体" w:hAnsi="宋体" w:cs="Arial"/>
          <w:highlight w:val="none"/>
        </w:rPr>
        <w:t xml:space="preserve"> 代表</w:t>
      </w:r>
      <w:r>
        <w:rPr>
          <w:rFonts w:hint="eastAsia" w:ascii="宋体" w:hAnsi="宋体"/>
          <w:szCs w:val="21"/>
          <w:highlight w:val="none"/>
        </w:rPr>
        <w:t>供应商</w:t>
      </w:r>
      <w:r>
        <w:rPr>
          <w:rFonts w:hint="eastAsia" w:ascii="宋体" w:hAnsi="宋体" w:cs="Arial"/>
          <w:highlight w:val="none"/>
          <w:u w:val="single"/>
        </w:rPr>
        <w:t xml:space="preserve">  （</w:t>
      </w:r>
      <w:r>
        <w:rPr>
          <w:rFonts w:hint="eastAsia" w:ascii="宋体" w:hAnsi="宋体"/>
          <w:szCs w:val="21"/>
          <w:highlight w:val="none"/>
          <w:u w:val="single"/>
        </w:rPr>
        <w:t>供应商</w:t>
      </w:r>
      <w:r>
        <w:rPr>
          <w:rFonts w:hint="eastAsia" w:ascii="宋体" w:hAnsi="宋体" w:cs="Arial"/>
          <w:highlight w:val="none"/>
          <w:u w:val="single"/>
        </w:rPr>
        <w:t xml:space="preserve">名称）    </w:t>
      </w:r>
      <w:r>
        <w:rPr>
          <w:rFonts w:ascii="宋体" w:hAnsi="宋体" w:cs="Arial"/>
          <w:highlight w:val="none"/>
        </w:rPr>
        <w:t>参加投标</w:t>
      </w:r>
      <w:r>
        <w:rPr>
          <w:rFonts w:hint="eastAsia" w:ascii="宋体" w:hAnsi="宋体" w:cs="Arial"/>
          <w:highlight w:val="none"/>
        </w:rPr>
        <w:t>，并提交报价文件。</w:t>
      </w:r>
    </w:p>
    <w:p>
      <w:pPr>
        <w:spacing w:before="157" w:beforeLines="50" w:after="157" w:afterLines="50" w:line="440" w:lineRule="exact"/>
        <w:ind w:firstLine="420"/>
        <w:rPr>
          <w:rFonts w:hint="eastAsia" w:ascii="宋体" w:hAnsi="宋体" w:cs="Arial"/>
          <w:highlight w:val="none"/>
        </w:rPr>
      </w:pPr>
      <w:r>
        <w:rPr>
          <w:rFonts w:hint="eastAsia" w:ascii="宋体" w:hAnsi="宋体" w:cs="Arial"/>
          <w:highlight w:val="none"/>
        </w:rPr>
        <w:t>据此函，本人宣布同意如下：</w:t>
      </w:r>
    </w:p>
    <w:p>
      <w:pPr>
        <w:spacing w:before="157" w:beforeLines="50" w:after="157" w:afterLines="50" w:line="440" w:lineRule="exact"/>
        <w:ind w:firstLine="420"/>
        <w:rPr>
          <w:rFonts w:ascii="宋体" w:hAnsi="宋体" w:cs="Arial"/>
          <w:highlight w:val="none"/>
        </w:rPr>
      </w:pPr>
      <w:r>
        <w:rPr>
          <w:rFonts w:hint="eastAsia" w:ascii="宋体" w:hAnsi="宋体" w:cs="Arial"/>
          <w:highlight w:val="none"/>
        </w:rPr>
        <w:t>1．所附“报价一览表”规定的应提供和交付的工程与服务报价总价为（人民币）：</w:t>
      </w:r>
    </w:p>
    <w:p>
      <w:pPr>
        <w:spacing w:line="440" w:lineRule="exact"/>
        <w:ind w:left="657" w:leftChars="313" w:firstLine="420" w:firstLineChars="200"/>
        <w:rPr>
          <w:rFonts w:ascii="宋体" w:hAnsi="宋体" w:cs="Arial"/>
          <w:highlight w:val="none"/>
        </w:rPr>
      </w:pPr>
      <w:r>
        <w:rPr>
          <w:rFonts w:hint="eastAsia" w:ascii="宋体" w:hAnsi="宋体" w:cs="Arial"/>
          <w:highlight w:val="none"/>
          <w:u w:val="single"/>
        </w:rPr>
        <w:t xml:space="preserve">                         </w:t>
      </w:r>
      <w:r>
        <w:rPr>
          <w:rFonts w:hint="eastAsia" w:ascii="宋体" w:hAnsi="宋体" w:cs="Arial"/>
          <w:highlight w:val="none"/>
        </w:rPr>
        <w:t>（大写），</w:t>
      </w:r>
      <w:r>
        <w:rPr>
          <w:rFonts w:hint="eastAsia" w:ascii="宋体" w:hAnsi="宋体" w:cs="Arial"/>
          <w:highlight w:val="none"/>
          <w:u w:val="single"/>
        </w:rPr>
        <w:t xml:space="preserve">                       </w:t>
      </w:r>
      <w:r>
        <w:rPr>
          <w:rFonts w:hint="eastAsia" w:ascii="宋体" w:hAnsi="宋体" w:cs="Arial"/>
          <w:highlight w:val="none"/>
        </w:rPr>
        <w:t>（小写）。</w:t>
      </w:r>
    </w:p>
    <w:p>
      <w:pPr>
        <w:spacing w:line="440" w:lineRule="exact"/>
        <w:ind w:left="656" w:leftChars="174" w:hanging="291" w:hangingChars="139"/>
        <w:rPr>
          <w:rFonts w:ascii="宋体" w:hAnsi="宋体" w:cs="Arial"/>
          <w:highlight w:val="none"/>
        </w:rPr>
      </w:pPr>
      <w:r>
        <w:rPr>
          <w:rFonts w:ascii="宋体" w:hAnsi="宋体" w:cs="Arial"/>
          <w:highlight w:val="none"/>
        </w:rPr>
        <w:t>2</w:t>
      </w:r>
      <w:r>
        <w:rPr>
          <w:rFonts w:hint="eastAsia" w:ascii="宋体" w:hAnsi="宋体" w:cs="Arial"/>
          <w:highlight w:val="none"/>
        </w:rPr>
        <w:t>．</w:t>
      </w:r>
      <w:r>
        <w:rPr>
          <w:rFonts w:ascii="宋体" w:hAnsi="宋体" w:cs="Arial"/>
          <w:highlight w:val="none"/>
        </w:rPr>
        <w:t>我方郑重承诺：除《</w:t>
      </w:r>
      <w:r>
        <w:rPr>
          <w:rFonts w:hint="eastAsia" w:ascii="宋体" w:hAnsi="宋体" w:cs="Arial"/>
          <w:highlight w:val="none"/>
        </w:rPr>
        <w:t>报价响应与磋商文件差异一览表</w:t>
      </w:r>
      <w:r>
        <w:rPr>
          <w:rFonts w:ascii="宋体" w:hAnsi="宋体" w:cs="Arial"/>
          <w:highlight w:val="none"/>
        </w:rPr>
        <w:t>》中的差异外，</w:t>
      </w:r>
      <w:r>
        <w:rPr>
          <w:rFonts w:hint="eastAsia" w:ascii="宋体" w:hAnsi="宋体"/>
          <w:szCs w:val="21"/>
          <w:highlight w:val="none"/>
        </w:rPr>
        <w:t>供应商</w:t>
      </w:r>
      <w:r>
        <w:rPr>
          <w:rFonts w:ascii="宋体" w:hAnsi="宋体" w:cs="Arial"/>
          <w:highlight w:val="none"/>
        </w:rPr>
        <w:t>将全部满足磋商文件中的各项实质性要求，如果发现</w:t>
      </w:r>
      <w:r>
        <w:rPr>
          <w:rFonts w:hint="eastAsia" w:ascii="宋体" w:hAnsi="宋体" w:cs="Arial"/>
          <w:highlight w:val="none"/>
        </w:rPr>
        <w:t>响应</w:t>
      </w:r>
      <w:r>
        <w:rPr>
          <w:rFonts w:ascii="宋体" w:hAnsi="宋体" w:cs="Arial"/>
          <w:highlight w:val="none"/>
        </w:rPr>
        <w:t>文件中另有与磋商文件中不一致的响应或没有响应，</w:t>
      </w:r>
      <w:r>
        <w:rPr>
          <w:rFonts w:hint="eastAsia" w:ascii="宋体" w:hAnsi="宋体"/>
          <w:szCs w:val="21"/>
          <w:highlight w:val="none"/>
        </w:rPr>
        <w:t>供应商</w:t>
      </w:r>
      <w:r>
        <w:rPr>
          <w:rFonts w:ascii="宋体" w:hAnsi="宋体" w:cs="Arial"/>
          <w:highlight w:val="none"/>
        </w:rPr>
        <w:t>同意采购人有权要求</w:t>
      </w:r>
      <w:r>
        <w:rPr>
          <w:rFonts w:hint="eastAsia" w:ascii="宋体" w:hAnsi="宋体"/>
          <w:szCs w:val="21"/>
          <w:highlight w:val="none"/>
        </w:rPr>
        <w:t>供应商</w:t>
      </w:r>
      <w:r>
        <w:rPr>
          <w:rFonts w:ascii="宋体" w:hAnsi="宋体" w:cs="Arial"/>
          <w:highlight w:val="none"/>
        </w:rPr>
        <w:t>按照磋商文件的要求提供设备或服务。</w:t>
      </w:r>
      <w:r>
        <w:rPr>
          <w:rFonts w:hint="eastAsia" w:ascii="宋体" w:hAnsi="宋体"/>
          <w:szCs w:val="21"/>
          <w:highlight w:val="none"/>
        </w:rPr>
        <w:t>供应商</w:t>
      </w:r>
      <w:r>
        <w:rPr>
          <w:rFonts w:ascii="宋体" w:hAnsi="宋体" w:cs="Arial"/>
          <w:highlight w:val="none"/>
        </w:rPr>
        <w:t>并同意按照磋商文件的规定履行合同责任和义务。</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rPr>
        <w:t>3</w:t>
      </w:r>
      <w:r>
        <w:rPr>
          <w:rFonts w:hint="eastAsia" w:ascii="宋体" w:hAnsi="宋体" w:cs="Arial"/>
          <w:highlight w:val="none"/>
          <w:lang w:val="en-US" w:eastAsia="zh-CN"/>
        </w:rPr>
        <w:t>.</w:t>
      </w:r>
      <w:r>
        <w:rPr>
          <w:rFonts w:hint="eastAsia" w:ascii="宋体" w:hAnsi="宋体" w:cs="Arial"/>
          <w:highlight w:val="none"/>
        </w:rPr>
        <w:t>我方承诺完全相应磋商文件中所有</w:t>
      </w:r>
      <w:r>
        <w:rPr>
          <w:rFonts w:hint="eastAsia" w:ascii="宋体" w:hAnsi="宋体"/>
          <w:b/>
          <w:szCs w:val="21"/>
          <w:highlight w:val="none"/>
        </w:rPr>
        <w:t>★</w:t>
      </w:r>
      <w:r>
        <w:rPr>
          <w:rFonts w:hint="eastAsia" w:ascii="宋体" w:hAnsi="宋体" w:cs="Arial"/>
          <w:highlight w:val="none"/>
        </w:rPr>
        <w:t>条款。</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rPr>
        <w:t>4．</w:t>
      </w:r>
      <w:r>
        <w:rPr>
          <w:rFonts w:hint="eastAsia" w:ascii="宋体" w:hAnsi="宋体"/>
          <w:szCs w:val="21"/>
          <w:highlight w:val="none"/>
        </w:rPr>
        <w:t>供应商</w:t>
      </w:r>
      <w:r>
        <w:rPr>
          <w:rFonts w:hint="eastAsia" w:ascii="宋体" w:hAnsi="宋体" w:cs="Arial"/>
          <w:highlight w:val="none"/>
        </w:rPr>
        <w:t>已详细审查全部磋商文件，包括修改文件（如有的话）以及全部参考资料和有关附件。我们完全理解并同意放弃对这方面有不明及误解的权利。</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rPr>
        <w:t>5．</w:t>
      </w:r>
      <w:r>
        <w:rPr>
          <w:rFonts w:hint="eastAsia" w:ascii="宋体" w:hAnsi="宋体"/>
          <w:szCs w:val="21"/>
          <w:highlight w:val="none"/>
        </w:rPr>
        <w:t>供应商</w:t>
      </w:r>
      <w:r>
        <w:rPr>
          <w:rFonts w:hint="eastAsia" w:ascii="宋体" w:hAnsi="宋体" w:cs="Arial"/>
          <w:highlight w:val="none"/>
        </w:rPr>
        <w:t>的响应文件自投标截止之日起有效期为90天。中标（成交）</w:t>
      </w:r>
      <w:r>
        <w:rPr>
          <w:rFonts w:hint="eastAsia" w:ascii="宋体" w:hAnsi="宋体"/>
          <w:szCs w:val="21"/>
          <w:highlight w:val="none"/>
        </w:rPr>
        <w:t>供应商</w:t>
      </w:r>
      <w:r>
        <w:rPr>
          <w:rFonts w:hint="eastAsia" w:ascii="宋体" w:hAnsi="宋体" w:cs="Arial"/>
          <w:highlight w:val="none"/>
        </w:rPr>
        <w:t>投标有效期则顺延至项目完成验收之日。</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lang w:val="en-US" w:eastAsia="zh-CN"/>
        </w:rPr>
        <w:t>6</w:t>
      </w:r>
      <w:r>
        <w:rPr>
          <w:rFonts w:hint="eastAsia" w:ascii="宋体" w:hAnsi="宋体" w:cs="Arial"/>
          <w:highlight w:val="none"/>
        </w:rPr>
        <w:t>．</w:t>
      </w:r>
      <w:r>
        <w:rPr>
          <w:rFonts w:hint="eastAsia" w:ascii="宋体" w:hAnsi="宋体"/>
          <w:szCs w:val="21"/>
          <w:highlight w:val="none"/>
        </w:rPr>
        <w:t>供应商</w:t>
      </w:r>
      <w:r>
        <w:rPr>
          <w:rFonts w:hint="eastAsia" w:ascii="宋体" w:hAnsi="宋体" w:cs="Arial"/>
          <w:highlight w:val="none"/>
        </w:rPr>
        <w:t>同意提供按照贵方可能要求的与我方投标有关的一切数据或资料，理解贵方不一定要接受最低价的投标或收到的任何投标。</w:t>
      </w:r>
    </w:p>
    <w:p>
      <w:pPr>
        <w:spacing w:line="440" w:lineRule="exact"/>
        <w:ind w:left="656" w:leftChars="174" w:hanging="291" w:hangingChars="139"/>
        <w:rPr>
          <w:rFonts w:ascii="宋体" w:hAnsi="宋体" w:cs="Arial"/>
          <w:highlight w:val="none"/>
        </w:rPr>
      </w:pPr>
      <w:r>
        <w:rPr>
          <w:rFonts w:hint="eastAsia" w:ascii="宋体" w:hAnsi="宋体" w:cs="Arial"/>
          <w:highlight w:val="none"/>
          <w:lang w:val="en-US" w:eastAsia="zh-CN"/>
        </w:rPr>
        <w:t>7</w:t>
      </w:r>
      <w:r>
        <w:rPr>
          <w:rFonts w:hint="eastAsia" w:ascii="宋体" w:hAnsi="宋体" w:cs="Arial"/>
          <w:highlight w:val="none"/>
        </w:rPr>
        <w:t>．与本项目有关的一切正式往来通讯请寄：</w:t>
      </w:r>
    </w:p>
    <w:p>
      <w:pPr>
        <w:spacing w:line="480" w:lineRule="exact"/>
        <w:ind w:firstLine="420"/>
        <w:rPr>
          <w:rFonts w:ascii="宋体" w:hAnsi="宋体" w:cs="Arial"/>
          <w:highlight w:val="none"/>
        </w:rPr>
      </w:pPr>
      <w:r>
        <w:rPr>
          <w:rFonts w:hint="eastAsia" w:ascii="宋体" w:hAnsi="宋体" w:cs="Arial"/>
          <w:highlight w:val="none"/>
        </w:rPr>
        <w:t>地址：</w:t>
      </w:r>
      <w:r>
        <w:rPr>
          <w:rFonts w:ascii="宋体" w:hAnsi="宋体" w:cs="Arial"/>
          <w:highlight w:val="none"/>
        </w:rPr>
        <w:tab/>
      </w:r>
      <w:r>
        <w:rPr>
          <w:rFonts w:ascii="宋体" w:hAnsi="宋体" w:cs="Arial"/>
          <w:highlight w:val="none"/>
        </w:rPr>
        <w:t xml:space="preserve">           </w:t>
      </w:r>
      <w:r>
        <w:rPr>
          <w:rFonts w:ascii="宋体" w:hAnsi="宋体" w:cs="Arial"/>
          <w:highlight w:val="none"/>
        </w:rPr>
        <w:tab/>
      </w:r>
      <w:r>
        <w:rPr>
          <w:rFonts w:ascii="宋体" w:hAnsi="宋体" w:cs="Arial"/>
          <w:highlight w:val="none"/>
        </w:rPr>
        <w:tab/>
      </w:r>
      <w:r>
        <w:rPr>
          <w:rFonts w:ascii="宋体" w:hAnsi="宋体" w:cs="Arial"/>
          <w:highlight w:val="none"/>
        </w:rPr>
        <w:t xml:space="preserve">             </w:t>
      </w:r>
      <w:r>
        <w:rPr>
          <w:rFonts w:hint="eastAsia" w:ascii="宋体" w:hAnsi="宋体" w:cs="Arial"/>
          <w:highlight w:val="none"/>
        </w:rPr>
        <w:t>邮编：</w:t>
      </w:r>
    </w:p>
    <w:p>
      <w:pPr>
        <w:spacing w:line="480" w:lineRule="exact"/>
        <w:ind w:firstLine="420"/>
        <w:rPr>
          <w:rFonts w:ascii="宋体" w:hAnsi="宋体" w:cs="Arial"/>
          <w:highlight w:val="none"/>
        </w:rPr>
      </w:pPr>
      <w:r>
        <w:rPr>
          <w:rFonts w:hint="eastAsia" w:ascii="宋体" w:hAnsi="宋体" w:cs="Arial"/>
          <w:highlight w:val="none"/>
        </w:rPr>
        <w:t>电话：</w:t>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hint="eastAsia" w:ascii="宋体" w:hAnsi="宋体" w:cs="Arial"/>
          <w:highlight w:val="none"/>
        </w:rPr>
        <w:t xml:space="preserve">      传真：</w:t>
      </w:r>
    </w:p>
    <w:p>
      <w:pPr>
        <w:spacing w:line="480" w:lineRule="exact"/>
        <w:ind w:firstLine="420"/>
        <w:rPr>
          <w:rFonts w:ascii="宋体" w:hAnsi="宋体" w:cs="Arial"/>
          <w:highlight w:val="none"/>
        </w:rPr>
      </w:pPr>
      <w:r>
        <w:rPr>
          <w:rFonts w:hint="eastAsia" w:ascii="宋体" w:hAnsi="宋体"/>
          <w:szCs w:val="21"/>
          <w:highlight w:val="none"/>
        </w:rPr>
        <w:t>供应商</w:t>
      </w:r>
      <w:r>
        <w:rPr>
          <w:rFonts w:hint="eastAsia" w:ascii="宋体" w:hAnsi="宋体" w:cs="Arial"/>
          <w:highlight w:val="none"/>
        </w:rPr>
        <w:t>代表姓名、职务：</w:t>
      </w:r>
    </w:p>
    <w:p>
      <w:pPr>
        <w:spacing w:line="480" w:lineRule="exact"/>
        <w:ind w:firstLine="420"/>
        <w:rPr>
          <w:rFonts w:ascii="宋体" w:hAnsi="宋体" w:cs="Arial"/>
          <w:highlight w:val="none"/>
        </w:rPr>
      </w:pPr>
      <w:r>
        <w:rPr>
          <w:rFonts w:hint="eastAsia" w:ascii="宋体" w:hAnsi="宋体"/>
          <w:szCs w:val="21"/>
          <w:highlight w:val="none"/>
        </w:rPr>
        <w:t>供应商</w:t>
      </w:r>
      <w:r>
        <w:rPr>
          <w:rFonts w:hint="eastAsia" w:ascii="宋体" w:hAnsi="宋体" w:cs="Arial"/>
          <w:highlight w:val="none"/>
        </w:rPr>
        <w:t>名称：（加盖公章）</w:t>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p>
    <w:p>
      <w:pPr>
        <w:spacing w:line="480" w:lineRule="exact"/>
        <w:ind w:firstLine="420"/>
        <w:rPr>
          <w:rFonts w:ascii="宋体" w:hAnsi="宋体" w:cs="Arial"/>
          <w:highlight w:val="none"/>
        </w:rPr>
      </w:pPr>
      <w:r>
        <w:rPr>
          <w:rFonts w:hint="eastAsia" w:ascii="宋体" w:hAnsi="宋体" w:cs="Arial"/>
          <w:highlight w:val="none"/>
        </w:rPr>
        <w:t>法定代表人签字（或其委托的全权代表人）：</w:t>
      </w:r>
      <w:r>
        <w:rPr>
          <w:rFonts w:ascii="宋体" w:hAnsi="宋体" w:cs="Arial"/>
          <w:highlight w:val="none"/>
        </w:rPr>
        <w:t xml:space="preserve">                   </w:t>
      </w:r>
    </w:p>
    <w:p>
      <w:pPr>
        <w:spacing w:line="480" w:lineRule="exact"/>
        <w:ind w:firstLine="420"/>
        <w:rPr>
          <w:rFonts w:ascii="宋体" w:hAnsi="宋体" w:cs="Arial"/>
          <w:highlight w:val="none"/>
        </w:rPr>
      </w:pPr>
      <w:r>
        <w:rPr>
          <w:rFonts w:ascii="宋体" w:hAnsi="宋体" w:cs="Arial"/>
          <w:highlight w:val="none"/>
        </w:rPr>
        <w:t xml:space="preserve">  </w:t>
      </w:r>
      <w:r>
        <w:rPr>
          <w:rFonts w:hint="eastAsia" w:ascii="宋体" w:hAnsi="宋体" w:cs="Arial"/>
          <w:highlight w:val="none"/>
        </w:rPr>
        <w:t>年</w:t>
      </w:r>
      <w:r>
        <w:rPr>
          <w:rFonts w:ascii="宋体" w:hAnsi="宋体" w:cs="Arial"/>
          <w:highlight w:val="none"/>
        </w:rPr>
        <w:t xml:space="preserve">   </w:t>
      </w:r>
      <w:r>
        <w:rPr>
          <w:rFonts w:hint="eastAsia" w:ascii="宋体" w:hAnsi="宋体" w:cs="Arial"/>
          <w:highlight w:val="none"/>
        </w:rPr>
        <w:t>月</w:t>
      </w:r>
      <w:r>
        <w:rPr>
          <w:rFonts w:ascii="宋体" w:hAnsi="宋体" w:cs="Arial"/>
          <w:highlight w:val="none"/>
        </w:rPr>
        <w:t xml:space="preserve">    </w:t>
      </w:r>
      <w:r>
        <w:rPr>
          <w:rFonts w:hint="eastAsia" w:ascii="宋体" w:hAnsi="宋体" w:cs="Arial"/>
          <w:highlight w:val="none"/>
        </w:rPr>
        <w:t>日</w:t>
      </w:r>
    </w:p>
    <w:p>
      <w:pPr>
        <w:spacing w:line="480" w:lineRule="exact"/>
        <w:ind w:firstLine="420" w:firstLineChars="200"/>
        <w:rPr>
          <w:rFonts w:ascii="宋体" w:hAnsi="宋体"/>
          <w:highlight w:val="none"/>
        </w:rPr>
      </w:pPr>
      <w:r>
        <w:rPr>
          <w:rFonts w:hint="eastAsia" w:ascii="宋体" w:hAnsi="宋体"/>
          <w:highlight w:val="none"/>
        </w:rPr>
        <w:t>注：法定代表人委托全权代表人，需附</w:t>
      </w:r>
      <w:r>
        <w:rPr>
          <w:rFonts w:hint="eastAsia"/>
          <w:highlight w:val="none"/>
        </w:rPr>
        <w:t>法定代表人授权书</w:t>
      </w:r>
      <w:r>
        <w:rPr>
          <w:rFonts w:hint="eastAsia" w:ascii="宋体" w:hAnsi="宋体"/>
          <w:highlight w:val="none"/>
        </w:rPr>
        <w:t>。</w:t>
      </w:r>
      <w:bookmarkStart w:id="117" w:name="_Toc494875416"/>
      <w:bookmarkStart w:id="118" w:name="_Toc517502638"/>
      <w:bookmarkStart w:id="119" w:name="_Toc12118376"/>
      <w:bookmarkStart w:id="120" w:name="_Toc484827213"/>
      <w:bookmarkStart w:id="121" w:name="_Toc506611607"/>
      <w:bookmarkStart w:id="122" w:name="_Toc490832206"/>
      <w:bookmarkStart w:id="123" w:name="_Toc484848558"/>
      <w:bookmarkStart w:id="124" w:name="_Toc506611815"/>
      <w:bookmarkStart w:id="125" w:name="_Toc506628558"/>
    </w:p>
    <w:p>
      <w:pPr>
        <w:spacing w:line="480" w:lineRule="exact"/>
        <w:ind w:firstLine="420" w:firstLineChars="200"/>
        <w:rPr>
          <w:rFonts w:ascii="宋体" w:hAnsi="宋体"/>
          <w:highlight w:val="none"/>
        </w:rPr>
      </w:pPr>
    </w:p>
    <w:p>
      <w:pPr>
        <w:rPr>
          <w:rFonts w:hint="eastAsia"/>
          <w:color w:val="auto"/>
          <w:highlight w:val="none"/>
        </w:rPr>
      </w:pPr>
      <w:bookmarkStart w:id="126" w:name="_Toc21065_WPSOffice_Level2"/>
      <w:bookmarkStart w:id="127" w:name="_Toc118799889"/>
      <w:bookmarkStart w:id="128" w:name="_Toc26452"/>
      <w:bookmarkStart w:id="129" w:name="_Toc30364"/>
      <w:bookmarkStart w:id="130" w:name="_Toc456949304"/>
      <w:bookmarkStart w:id="131" w:name="_Toc16111"/>
      <w:bookmarkStart w:id="132" w:name="_Toc465353226"/>
      <w:r>
        <w:rPr>
          <w:rFonts w:hint="eastAsia"/>
          <w:color w:val="auto"/>
          <w:highlight w:val="none"/>
        </w:rPr>
        <w:br w:type="page"/>
      </w:r>
    </w:p>
    <w:p>
      <w:pPr>
        <w:pStyle w:val="4"/>
        <w:spacing w:before="157" w:after="157"/>
        <w:rPr>
          <w:color w:val="auto"/>
          <w:highlight w:val="none"/>
        </w:rPr>
      </w:pPr>
      <w:r>
        <w:rPr>
          <w:rFonts w:hint="eastAsia"/>
          <w:color w:val="auto"/>
          <w:highlight w:val="none"/>
        </w:rPr>
        <w:t>表5-2  法定代表人证明书/法定代表人授权书</w:t>
      </w:r>
      <w:bookmarkEnd w:id="126"/>
      <w:bookmarkEnd w:id="127"/>
      <w:bookmarkEnd w:id="128"/>
      <w:bookmarkEnd w:id="129"/>
      <w:bookmarkEnd w:id="130"/>
      <w:bookmarkEnd w:id="131"/>
      <w:bookmarkEnd w:id="132"/>
    </w:p>
    <w:p>
      <w:pPr>
        <w:pStyle w:val="23"/>
        <w:rPr>
          <w:highlight w:val="none"/>
        </w:rPr>
      </w:pPr>
    </w:p>
    <w:p>
      <w:pPr>
        <w:spacing w:line="360" w:lineRule="auto"/>
        <w:ind w:firstLine="422" w:firstLineChars="200"/>
        <w:rPr>
          <w:rFonts w:ascii="宋体"/>
          <w:b/>
          <w:bCs/>
          <w:highlight w:val="none"/>
        </w:rPr>
      </w:pPr>
      <w:r>
        <w:rPr>
          <w:rFonts w:hint="eastAsia" w:ascii="宋体"/>
          <w:b/>
          <w:bCs/>
          <w:highlight w:val="none"/>
        </w:rPr>
        <w:t>法定代表人证明书和法定代表人授权书按以下格式填写，如由法定代表人报价并签署报价文件，需提供法定代表人证明书，否则需提供法定代表人证明书和法定代表人授权书。</w:t>
      </w:r>
    </w:p>
    <w:p>
      <w:pPr>
        <w:pStyle w:val="5"/>
        <w:rPr>
          <w:b/>
          <w:highlight w:val="none"/>
        </w:rPr>
      </w:pPr>
    </w:p>
    <w:p>
      <w:pPr>
        <w:pStyle w:val="5"/>
        <w:ind w:left="0"/>
        <w:jc w:val="center"/>
        <w:rPr>
          <w:b/>
          <w:sz w:val="30"/>
          <w:highlight w:val="none"/>
        </w:rPr>
      </w:pPr>
      <w:bookmarkStart w:id="133" w:name="_Toc20466_WPSOffice_Level2"/>
      <w:bookmarkStart w:id="134" w:name="_Toc24554"/>
      <w:r>
        <w:rPr>
          <w:rFonts w:hint="eastAsia"/>
          <w:b/>
          <w:sz w:val="30"/>
          <w:highlight w:val="none"/>
        </w:rPr>
        <w:t>法定代表人证明书</w:t>
      </w:r>
      <w:bookmarkEnd w:id="133"/>
      <w:bookmarkEnd w:id="134"/>
    </w:p>
    <w:p>
      <w:pPr>
        <w:pStyle w:val="5"/>
        <w:spacing w:line="360" w:lineRule="auto"/>
        <w:rPr>
          <w:bCs/>
          <w:sz w:val="28"/>
          <w:highlight w:val="none"/>
          <w:u w:val="single"/>
        </w:rPr>
      </w:pPr>
    </w:p>
    <w:p>
      <w:pPr>
        <w:spacing w:line="460" w:lineRule="exact"/>
        <w:rPr>
          <w:szCs w:val="21"/>
          <w:highlight w:val="none"/>
        </w:rPr>
      </w:pPr>
      <w:bookmarkStart w:id="135" w:name="_Toc118799879"/>
      <w:r>
        <w:rPr>
          <w:rFonts w:hint="eastAsia"/>
          <w:szCs w:val="21"/>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r>
        <w:rPr>
          <w:rFonts w:hint="eastAsia"/>
          <w:szCs w:val="21"/>
          <w:highlight w:val="none"/>
        </w:rPr>
        <w:t>：</w:t>
      </w:r>
    </w:p>
    <w:p>
      <w:pPr>
        <w:spacing w:line="460" w:lineRule="exact"/>
        <w:rPr>
          <w:szCs w:val="21"/>
          <w:highlight w:val="none"/>
        </w:rPr>
      </w:pPr>
    </w:p>
    <w:p>
      <w:pPr>
        <w:spacing w:line="460" w:lineRule="exact"/>
        <w:rPr>
          <w:szCs w:val="21"/>
          <w:highlight w:val="none"/>
        </w:rPr>
      </w:pPr>
      <w:r>
        <w:rPr>
          <w:rFonts w:hint="eastAsia"/>
          <w:szCs w:val="21"/>
          <w:highlight w:val="none"/>
        </w:rPr>
        <w:t xml:space="preserve">     </w:t>
      </w:r>
      <w:r>
        <w:rPr>
          <w:rFonts w:hint="eastAsia"/>
          <w:szCs w:val="21"/>
          <w:highlight w:val="none"/>
          <w:u w:val="single"/>
        </w:rPr>
        <w:t xml:space="preserve">                        </w:t>
      </w:r>
      <w:r>
        <w:rPr>
          <w:rFonts w:hint="eastAsia"/>
          <w:szCs w:val="21"/>
          <w:highlight w:val="none"/>
        </w:rPr>
        <w:t>同志，现任我单位</w:t>
      </w:r>
      <w:r>
        <w:rPr>
          <w:rFonts w:hint="eastAsia"/>
          <w:szCs w:val="21"/>
          <w:highlight w:val="none"/>
          <w:u w:val="single"/>
        </w:rPr>
        <w:t xml:space="preserve">                   </w:t>
      </w:r>
      <w:r>
        <w:rPr>
          <w:rFonts w:hint="eastAsia"/>
          <w:szCs w:val="21"/>
          <w:highlight w:val="none"/>
        </w:rPr>
        <w:t>职务，为法定代表人，特此证明。</w:t>
      </w:r>
    </w:p>
    <w:p>
      <w:pPr>
        <w:spacing w:line="460" w:lineRule="exact"/>
        <w:ind w:firstLine="210" w:firstLineChars="100"/>
        <w:rPr>
          <w:szCs w:val="21"/>
          <w:highlight w:val="none"/>
        </w:rPr>
      </w:pPr>
      <w:r>
        <w:rPr>
          <w:rFonts w:hint="eastAsia"/>
          <w:szCs w:val="21"/>
          <w:highlight w:val="none"/>
        </w:rPr>
        <w:t>签发日期：                                    单位：           （盖章）</w:t>
      </w:r>
    </w:p>
    <w:p>
      <w:pPr>
        <w:spacing w:line="460" w:lineRule="exact"/>
        <w:ind w:firstLine="210" w:firstLineChars="100"/>
        <w:rPr>
          <w:szCs w:val="21"/>
          <w:highlight w:val="none"/>
        </w:rPr>
      </w:pPr>
    </w:p>
    <w:p>
      <w:pPr>
        <w:spacing w:line="460" w:lineRule="exact"/>
        <w:ind w:firstLine="210" w:firstLineChars="100"/>
        <w:rPr>
          <w:szCs w:val="21"/>
          <w:highlight w:val="none"/>
        </w:rPr>
      </w:pPr>
      <w:r>
        <w:rPr>
          <w:rFonts w:hint="eastAsia"/>
          <w:szCs w:val="21"/>
          <w:highlight w:val="none"/>
        </w:rPr>
        <w:t>附：代表人性别：                   年龄：                身份证号码：</w:t>
      </w:r>
    </w:p>
    <w:p>
      <w:pPr>
        <w:spacing w:line="460" w:lineRule="exact"/>
        <w:ind w:firstLine="210" w:firstLineChars="100"/>
        <w:rPr>
          <w:szCs w:val="21"/>
          <w:highlight w:val="none"/>
        </w:rPr>
      </w:pPr>
      <w:r>
        <w:rPr>
          <w:rFonts w:hint="eastAsia"/>
          <w:szCs w:val="21"/>
          <w:highlight w:val="none"/>
        </w:rPr>
        <w:t>联系电话：</w:t>
      </w:r>
    </w:p>
    <w:p>
      <w:pPr>
        <w:spacing w:line="460" w:lineRule="exact"/>
        <w:ind w:firstLine="210" w:firstLineChars="100"/>
        <w:rPr>
          <w:szCs w:val="21"/>
          <w:highlight w:val="none"/>
        </w:rPr>
      </w:pPr>
      <w:r>
        <w:rPr>
          <w:rFonts w:hint="eastAsia"/>
          <w:szCs w:val="21"/>
          <w:highlight w:val="none"/>
        </w:rPr>
        <w:t>营业执照号码：                       经济性质：</w:t>
      </w:r>
    </w:p>
    <w:p>
      <w:pPr>
        <w:spacing w:line="460" w:lineRule="exact"/>
        <w:ind w:firstLine="210" w:firstLineChars="100"/>
        <w:rPr>
          <w:szCs w:val="21"/>
          <w:highlight w:val="none"/>
        </w:rPr>
      </w:pPr>
      <w:r>
        <w:rPr>
          <w:rFonts w:hint="eastAsia"/>
          <w:szCs w:val="21"/>
          <w:highlight w:val="none"/>
        </w:rPr>
        <w:t>主营（产）：</w:t>
      </w:r>
    </w:p>
    <w:p>
      <w:pPr>
        <w:spacing w:line="460" w:lineRule="exact"/>
        <w:ind w:firstLine="210" w:firstLineChars="100"/>
        <w:rPr>
          <w:szCs w:val="21"/>
          <w:highlight w:val="none"/>
        </w:rPr>
      </w:pPr>
      <w:r>
        <w:rPr>
          <w:rFonts w:hint="eastAsia"/>
          <w:szCs w:val="21"/>
          <w:highlight w:val="none"/>
        </w:rPr>
        <w:t>兼营（产）：</w:t>
      </w:r>
    </w:p>
    <w:p>
      <w:pPr>
        <w:spacing w:line="460" w:lineRule="exact"/>
        <w:ind w:firstLine="210" w:firstLineChars="100"/>
        <w:rPr>
          <w:szCs w:val="21"/>
          <w:highlight w:val="none"/>
        </w:rPr>
      </w:pPr>
      <w:r>
        <w:rPr>
          <w:rFonts w:hint="eastAsia"/>
          <w:szCs w:val="21"/>
          <w:highlight w:val="none"/>
        </w:rPr>
        <w:t>进口物品经营许可证号码：</w:t>
      </w:r>
    </w:p>
    <w:p>
      <w:pPr>
        <w:spacing w:line="460" w:lineRule="exact"/>
        <w:ind w:firstLine="210" w:firstLineChars="100"/>
        <w:rPr>
          <w:szCs w:val="21"/>
          <w:highlight w:val="none"/>
        </w:rPr>
      </w:pPr>
      <w:r>
        <w:rPr>
          <w:rFonts w:hint="eastAsia"/>
          <w:szCs w:val="21"/>
          <w:highlight w:val="none"/>
        </w:rPr>
        <w:t>主营：</w:t>
      </w:r>
    </w:p>
    <w:p>
      <w:pPr>
        <w:spacing w:line="460" w:lineRule="exact"/>
        <w:ind w:firstLine="210" w:firstLineChars="100"/>
        <w:rPr>
          <w:szCs w:val="21"/>
          <w:highlight w:val="none"/>
        </w:rPr>
      </w:pPr>
      <w:r>
        <w:rPr>
          <w:rFonts w:hint="eastAsia"/>
          <w:szCs w:val="21"/>
          <w:highlight w:val="none"/>
        </w:rPr>
        <w:t>兼营：</w:t>
      </w:r>
    </w:p>
    <w:p>
      <w:pPr>
        <w:spacing w:line="460" w:lineRule="exact"/>
        <w:rPr>
          <w:szCs w:val="21"/>
          <w:highlight w:val="none"/>
        </w:rPr>
      </w:pPr>
      <w:r>
        <w:rPr>
          <w:rFonts w:hint="eastAsia"/>
          <w:szCs w:val="21"/>
          <w:highlight w:val="none"/>
        </w:rPr>
        <w:t>说明：1.法定代表人为企业事业单位、国家机关、社会团体的主要行政负责人。</w:t>
      </w:r>
    </w:p>
    <w:p>
      <w:pPr>
        <w:spacing w:line="460" w:lineRule="exact"/>
        <w:rPr>
          <w:szCs w:val="21"/>
          <w:highlight w:val="none"/>
        </w:rPr>
      </w:pPr>
      <w:r>
        <w:rPr>
          <w:rFonts w:hint="eastAsia"/>
          <w:szCs w:val="21"/>
          <w:highlight w:val="none"/>
        </w:rPr>
        <w:t xml:space="preserve">            </w:t>
      </w:r>
      <w:bookmarkStart w:id="136" w:name="_Toc19143"/>
      <w:bookmarkStart w:id="137" w:name="_Toc16717_WPSOffice_Level2"/>
      <w:r>
        <w:rPr>
          <w:rFonts w:hint="eastAsia"/>
          <w:szCs w:val="21"/>
          <w:highlight w:val="none"/>
        </w:rPr>
        <w:t>2.内容必须填写真实、清楚、涂改无效，不得转让、买卖。</w:t>
      </w:r>
      <w:bookmarkEnd w:id="136"/>
      <w:bookmarkEnd w:id="137"/>
    </w:p>
    <w:p>
      <w:pPr>
        <w:spacing w:line="460" w:lineRule="exact"/>
        <w:ind w:firstLine="630" w:firstLineChars="300"/>
        <w:rPr>
          <w:szCs w:val="21"/>
          <w:highlight w:val="none"/>
        </w:rPr>
      </w:pPr>
      <w:bookmarkStart w:id="138" w:name="_Toc32361_WPSOffice_Level2"/>
      <w:bookmarkStart w:id="139" w:name="_Toc453"/>
      <w:r>
        <w:rPr>
          <w:rFonts w:hint="eastAsia"/>
          <w:szCs w:val="21"/>
          <w:highlight w:val="none"/>
        </w:rPr>
        <w:t>3.将此证明书提交对方作为合同附件</w:t>
      </w:r>
      <w:r>
        <w:rPr>
          <w:rFonts w:hint="eastAsia"/>
          <w:b/>
          <w:szCs w:val="21"/>
          <w:highlight w:val="none"/>
        </w:rPr>
        <w:t>。</w:t>
      </w:r>
      <w:bookmarkEnd w:id="138"/>
      <w:bookmarkEnd w:id="139"/>
    </w:p>
    <w:p>
      <w:pPr>
        <w:spacing w:line="460" w:lineRule="exact"/>
        <w:jc w:val="both"/>
        <w:rPr>
          <w:b/>
          <w:szCs w:val="21"/>
          <w:highlight w:val="none"/>
        </w:rPr>
      </w:pPr>
      <w:r>
        <w:rPr>
          <w:rFonts w:hint="eastAsia"/>
          <w:szCs w:val="21"/>
          <w:highlight w:val="none"/>
        </w:rPr>
        <w:t xml:space="preserve"> </w:t>
      </w:r>
      <w:r>
        <w:rPr>
          <w:rFonts w:hint="eastAsia"/>
          <w:b/>
          <w:szCs w:val="21"/>
          <w:highlight w:val="none"/>
        </w:rPr>
        <w:t xml:space="preserve"> (为避免废标，请</w:t>
      </w:r>
      <w:r>
        <w:rPr>
          <w:rFonts w:hint="eastAsia" w:ascii="宋体" w:hAnsi="宋体"/>
          <w:b/>
          <w:bCs/>
          <w:szCs w:val="21"/>
          <w:highlight w:val="none"/>
        </w:rPr>
        <w:t>供应商</w:t>
      </w:r>
      <w:r>
        <w:rPr>
          <w:rFonts w:hint="eastAsia"/>
          <w:b/>
          <w:szCs w:val="21"/>
          <w:highlight w:val="none"/>
        </w:rPr>
        <w:t>务必提供本附件)</w:t>
      </w:r>
    </w:p>
    <w:p>
      <w:pPr>
        <w:spacing w:line="460" w:lineRule="exact"/>
        <w:jc w:val="both"/>
        <w:rPr>
          <w:b/>
          <w:szCs w:val="21"/>
          <w:highlight w:val="none"/>
        </w:rPr>
      </w:pPr>
      <w:r>
        <w:rPr>
          <w:rFonts w:hint="eastAsia"/>
          <w:b/>
          <w:szCs w:val="21"/>
          <w:highlight w:val="none"/>
        </w:rPr>
        <mc:AlternateContent>
          <mc:Choice Requires="wps">
            <w:drawing>
              <wp:anchor distT="0" distB="0" distL="114300" distR="114300" simplePos="0" relativeHeight="251660288" behindDoc="0" locked="0" layoutInCell="1" allowOverlap="1">
                <wp:simplePos x="0" y="0"/>
                <wp:positionH relativeFrom="column">
                  <wp:posOffset>1750060</wp:posOffset>
                </wp:positionH>
                <wp:positionV relativeFrom="paragraph">
                  <wp:posOffset>267970</wp:posOffset>
                </wp:positionV>
                <wp:extent cx="2288540" cy="1634490"/>
                <wp:effectExtent l="6350" t="6350" r="16510" b="10160"/>
                <wp:wrapNone/>
                <wp:docPr id="1" name="自选图形 48"/>
                <wp:cNvGraphicFramePr/>
                <a:graphic xmlns:a="http://schemas.openxmlformats.org/drawingml/2006/main">
                  <a:graphicData uri="http://schemas.microsoft.com/office/word/2010/wordprocessingShape">
                    <wps:wsp>
                      <wps:cNvSpPr/>
                      <wps:spPr>
                        <a:xfrm>
                          <a:off x="0" y="0"/>
                          <a:ext cx="2288540" cy="16344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rPr>
                                <w:rFonts w:hAnsi="宋体"/>
                                <w:szCs w:val="21"/>
                              </w:rPr>
                            </w:pPr>
                          </w:p>
                          <w:p>
                            <w:pPr>
                              <w:rPr>
                                <w:rFonts w:hAnsi="宋体"/>
                                <w:szCs w:val="21"/>
                              </w:rPr>
                            </w:pPr>
                          </w:p>
                          <w:p>
                            <w:pPr>
                              <w:rPr>
                                <w:rFonts w:hAnsi="宋体"/>
                                <w:szCs w:val="21"/>
                              </w:rPr>
                            </w:pPr>
                          </w:p>
                          <w:p>
                            <w:pPr>
                              <w:rPr>
                                <w:rFonts w:hAnsi="宋体"/>
                                <w:szCs w:val="21"/>
                              </w:rPr>
                            </w:pPr>
                          </w:p>
                          <w:p>
                            <w:pPr>
                              <w:jc w:val="center"/>
                            </w:pPr>
                            <w:r>
                              <w:rPr>
                                <w:rFonts w:hint="eastAsia" w:hAnsi="宋体"/>
                                <w:szCs w:val="21"/>
                              </w:rPr>
                              <w:t>法定代表人身份证复印件</w:t>
                            </w:r>
                          </w:p>
                        </w:txbxContent>
                      </wps:txbx>
                      <wps:bodyPr wrap="square" upright="1"/>
                    </wps:wsp>
                  </a:graphicData>
                </a:graphic>
              </wp:anchor>
            </w:drawing>
          </mc:Choice>
          <mc:Fallback>
            <w:pict>
              <v:shape id="自选图形 48" o:spid="_x0000_s1026" o:spt="176" type="#_x0000_t176" style="position:absolute;left:0pt;margin-left:137.8pt;margin-top:21.1pt;height:128.7pt;width:180.2pt;z-index:251660288;mso-width-relative:page;mso-height-relative:page;" fillcolor="#FFFFFF" filled="t" stroked="t" coordsize="21600,21600" o:gfxdata="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TqOutgAAAAKAQAADwAAAAAAAAABACAAAAAiAAAAZHJzL2Rvd25yZXYueG1sUEsBAhQAFAAA&#10;AAgAh07iQHNBofYoAgAAVAQAAA4AAAAAAAAAAQAgAAAAJwEAAGRycy9lMm9Eb2MueG1sUEsFBgAA&#10;AAAGAAYAWQEAAMEFAAAAAA==&#10;">
                <v:fill on="t" focussize="0,0"/>
                <v:stroke color="#000000" joinstyle="miter"/>
                <v:imagedata o:title=""/>
                <o:lock v:ext="edit" aspectratio="f"/>
                <v:textbox>
                  <w:txbxContent>
                    <w:p>
                      <w:pPr>
                        <w:rPr>
                          <w:rFonts w:hAnsi="宋体"/>
                          <w:szCs w:val="21"/>
                        </w:rPr>
                      </w:pPr>
                    </w:p>
                    <w:p>
                      <w:pPr>
                        <w:rPr>
                          <w:rFonts w:hAnsi="宋体"/>
                          <w:szCs w:val="21"/>
                        </w:rPr>
                      </w:pPr>
                    </w:p>
                    <w:p>
                      <w:pPr>
                        <w:rPr>
                          <w:rFonts w:hAnsi="宋体"/>
                          <w:szCs w:val="21"/>
                        </w:rPr>
                      </w:pPr>
                    </w:p>
                    <w:p>
                      <w:pPr>
                        <w:rPr>
                          <w:rFonts w:hAnsi="宋体"/>
                          <w:szCs w:val="21"/>
                        </w:rPr>
                      </w:pPr>
                    </w:p>
                    <w:p>
                      <w:pPr>
                        <w:jc w:val="center"/>
                      </w:pPr>
                      <w:r>
                        <w:rPr>
                          <w:rFonts w:hint="eastAsia" w:hAnsi="宋体"/>
                          <w:szCs w:val="21"/>
                        </w:rPr>
                        <w:t>法定代表人身份证复印件</w:t>
                      </w:r>
                    </w:p>
                  </w:txbxContent>
                </v:textbox>
              </v:shape>
            </w:pict>
          </mc:Fallback>
        </mc:AlternateContent>
      </w:r>
    </w:p>
    <w:p>
      <w:pPr>
        <w:spacing w:line="460" w:lineRule="exact"/>
        <w:jc w:val="both"/>
        <w:rPr>
          <w:b/>
          <w:szCs w:val="21"/>
          <w:highlight w:val="none"/>
        </w:rPr>
      </w:pPr>
    </w:p>
    <w:p>
      <w:pPr>
        <w:spacing w:line="460" w:lineRule="exact"/>
        <w:jc w:val="both"/>
        <w:rPr>
          <w:b/>
          <w:szCs w:val="21"/>
          <w:highlight w:val="none"/>
        </w:rPr>
      </w:pPr>
    </w:p>
    <w:p>
      <w:pPr>
        <w:spacing w:line="460" w:lineRule="exact"/>
        <w:jc w:val="both"/>
        <w:rPr>
          <w:b/>
          <w:szCs w:val="21"/>
          <w:highlight w:val="none"/>
        </w:rPr>
      </w:pPr>
    </w:p>
    <w:p>
      <w:pPr>
        <w:spacing w:line="460" w:lineRule="exact"/>
        <w:jc w:val="both"/>
        <w:rPr>
          <w:b/>
          <w:szCs w:val="21"/>
          <w:highlight w:val="none"/>
        </w:rPr>
      </w:pPr>
    </w:p>
    <w:p>
      <w:pPr>
        <w:spacing w:line="460" w:lineRule="exact"/>
        <w:jc w:val="both"/>
        <w:rPr>
          <w:b/>
          <w:szCs w:val="21"/>
          <w:highlight w:val="none"/>
        </w:rPr>
      </w:pPr>
    </w:p>
    <w:p>
      <w:pPr>
        <w:jc w:val="both"/>
        <w:rPr>
          <w:b/>
          <w:szCs w:val="21"/>
          <w:highlight w:val="none"/>
        </w:rPr>
      </w:pPr>
    </w:p>
    <w:p>
      <w:pPr>
        <w:jc w:val="both"/>
        <w:rPr>
          <w:b/>
          <w:szCs w:val="21"/>
          <w:highlight w:val="none"/>
        </w:rPr>
      </w:pPr>
    </w:p>
    <w:p>
      <w:pPr>
        <w:pStyle w:val="5"/>
        <w:ind w:left="0"/>
        <w:jc w:val="center"/>
        <w:rPr>
          <w:b/>
          <w:sz w:val="28"/>
          <w:szCs w:val="28"/>
          <w:highlight w:val="none"/>
        </w:rPr>
      </w:pPr>
      <w:bookmarkStart w:id="140" w:name="_Toc21950"/>
      <w:bookmarkStart w:id="141" w:name="_Toc25340_WPSOffice_Level2"/>
      <w:r>
        <w:rPr>
          <w:rFonts w:hint="eastAsia"/>
          <w:b/>
          <w:sz w:val="30"/>
          <w:highlight w:val="none"/>
        </w:rPr>
        <w:br w:type="page"/>
      </w:r>
      <w:r>
        <w:rPr>
          <w:rFonts w:hint="eastAsia"/>
          <w:b/>
          <w:sz w:val="30"/>
          <w:highlight w:val="none"/>
        </w:rPr>
        <w:t>法定代表人授权委托书</w:t>
      </w:r>
      <w:bookmarkEnd w:id="140"/>
      <w:bookmarkEnd w:id="141"/>
    </w:p>
    <w:p>
      <w:pPr>
        <w:jc w:val="both"/>
        <w:rPr>
          <w:szCs w:val="21"/>
          <w:highlight w:val="none"/>
        </w:rPr>
      </w:pPr>
    </w:p>
    <w:p>
      <w:pPr>
        <w:jc w:val="both"/>
        <w:rPr>
          <w:szCs w:val="21"/>
          <w:highlight w:val="none"/>
        </w:rPr>
      </w:pPr>
    </w:p>
    <w:p>
      <w:pPr>
        <w:spacing w:line="360" w:lineRule="auto"/>
        <w:rPr>
          <w:szCs w:val="21"/>
          <w:highlight w:val="none"/>
        </w:rPr>
      </w:pPr>
      <w:r>
        <w:rPr>
          <w:rFonts w:hint="eastAsia"/>
          <w:szCs w:val="21"/>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r>
        <w:rPr>
          <w:rFonts w:hint="eastAsia"/>
          <w:szCs w:val="21"/>
          <w:highlight w:val="none"/>
        </w:rPr>
        <w:t>：</w:t>
      </w:r>
    </w:p>
    <w:p>
      <w:pPr>
        <w:spacing w:line="360" w:lineRule="auto"/>
        <w:rPr>
          <w:szCs w:val="21"/>
          <w:highlight w:val="none"/>
        </w:rPr>
      </w:pPr>
    </w:p>
    <w:p>
      <w:pPr>
        <w:spacing w:line="360" w:lineRule="auto"/>
        <w:ind w:firstLine="420" w:firstLineChars="200"/>
        <w:rPr>
          <w:szCs w:val="21"/>
          <w:highlight w:val="none"/>
        </w:rPr>
      </w:pPr>
      <w:r>
        <w:rPr>
          <w:rFonts w:hint="eastAsia"/>
          <w:szCs w:val="21"/>
          <w:highlight w:val="none"/>
        </w:rPr>
        <w:t>兹授权</w:t>
      </w:r>
      <w:r>
        <w:rPr>
          <w:rFonts w:hint="eastAsia"/>
          <w:szCs w:val="21"/>
          <w:highlight w:val="none"/>
          <w:u w:val="single"/>
        </w:rPr>
        <w:t xml:space="preserve">                   </w:t>
      </w:r>
      <w:r>
        <w:rPr>
          <w:rFonts w:hint="eastAsia"/>
          <w:szCs w:val="21"/>
          <w:highlight w:val="none"/>
        </w:rPr>
        <w:t>同志，为我方签订经济合同及办理其他事务代理人，其权限是：</w:t>
      </w:r>
      <w:r>
        <w:rPr>
          <w:rFonts w:hint="eastAsia"/>
          <w:szCs w:val="21"/>
          <w:highlight w:val="none"/>
          <w:u w:val="single"/>
        </w:rPr>
        <w:t xml:space="preserve">                          </w:t>
      </w:r>
      <w:r>
        <w:rPr>
          <w:rFonts w:hint="eastAsia"/>
          <w:szCs w:val="21"/>
          <w:highlight w:val="none"/>
        </w:rPr>
        <w:t>。</w:t>
      </w:r>
    </w:p>
    <w:p>
      <w:pPr>
        <w:spacing w:line="360" w:lineRule="auto"/>
        <w:rPr>
          <w:szCs w:val="21"/>
          <w:highlight w:val="none"/>
        </w:rPr>
      </w:pPr>
      <w:r>
        <w:rPr>
          <w:rFonts w:hint="eastAsia"/>
          <w:szCs w:val="21"/>
          <w:highlight w:val="none"/>
        </w:rPr>
        <w:t>授权单位：                            （盖章）     法定代表人：              （签名或盖私章）</w:t>
      </w:r>
    </w:p>
    <w:p>
      <w:pPr>
        <w:spacing w:line="360" w:lineRule="auto"/>
        <w:rPr>
          <w:szCs w:val="21"/>
          <w:highlight w:val="none"/>
        </w:rPr>
      </w:pPr>
      <w:r>
        <w:rPr>
          <w:rFonts w:hint="eastAsia"/>
          <w:szCs w:val="21"/>
          <w:highlight w:val="none"/>
        </w:rPr>
        <w:t>签发日期：</w:t>
      </w:r>
    </w:p>
    <w:p>
      <w:pPr>
        <w:spacing w:line="360" w:lineRule="auto"/>
        <w:rPr>
          <w:szCs w:val="21"/>
          <w:highlight w:val="none"/>
        </w:rPr>
      </w:pPr>
    </w:p>
    <w:p>
      <w:pPr>
        <w:spacing w:line="360" w:lineRule="auto"/>
        <w:rPr>
          <w:szCs w:val="21"/>
          <w:highlight w:val="none"/>
        </w:rPr>
      </w:pPr>
      <w:r>
        <w:rPr>
          <w:rFonts w:hint="eastAsia"/>
          <w:szCs w:val="21"/>
          <w:highlight w:val="none"/>
        </w:rPr>
        <w:t>附：代理人性别：              年龄：         职务：             身份证号码：</w:t>
      </w:r>
    </w:p>
    <w:p>
      <w:pPr>
        <w:spacing w:line="360" w:lineRule="auto"/>
        <w:ind w:firstLine="472" w:firstLineChars="225"/>
        <w:rPr>
          <w:szCs w:val="21"/>
          <w:highlight w:val="none"/>
        </w:rPr>
      </w:pPr>
      <w:r>
        <w:rPr>
          <w:rFonts w:hint="eastAsia"/>
          <w:szCs w:val="21"/>
          <w:highlight w:val="none"/>
        </w:rPr>
        <w:t>联系电话：</w:t>
      </w:r>
    </w:p>
    <w:p>
      <w:pPr>
        <w:spacing w:line="360" w:lineRule="auto"/>
        <w:ind w:firstLine="472" w:firstLineChars="225"/>
        <w:rPr>
          <w:szCs w:val="21"/>
          <w:highlight w:val="none"/>
        </w:rPr>
      </w:pPr>
      <w:r>
        <w:rPr>
          <w:rFonts w:hint="eastAsia"/>
          <w:szCs w:val="21"/>
          <w:highlight w:val="none"/>
        </w:rPr>
        <w:t>营业执照号码：                         经济性质：</w:t>
      </w:r>
    </w:p>
    <w:p>
      <w:pPr>
        <w:spacing w:line="360" w:lineRule="auto"/>
        <w:ind w:firstLine="472" w:firstLineChars="225"/>
        <w:rPr>
          <w:szCs w:val="21"/>
          <w:highlight w:val="none"/>
        </w:rPr>
      </w:pPr>
      <w:r>
        <w:rPr>
          <w:rFonts w:hint="eastAsia"/>
          <w:szCs w:val="21"/>
          <w:highlight w:val="none"/>
        </w:rPr>
        <w:t>主营（产）：</w:t>
      </w:r>
    </w:p>
    <w:p>
      <w:pPr>
        <w:spacing w:line="360" w:lineRule="auto"/>
        <w:ind w:firstLine="472" w:firstLineChars="225"/>
        <w:rPr>
          <w:szCs w:val="21"/>
          <w:highlight w:val="none"/>
        </w:rPr>
      </w:pPr>
      <w:r>
        <w:rPr>
          <w:rFonts w:hint="eastAsia"/>
          <w:szCs w:val="21"/>
          <w:highlight w:val="none"/>
        </w:rPr>
        <w:t>兼营（产）：</w:t>
      </w:r>
    </w:p>
    <w:p>
      <w:pPr>
        <w:spacing w:line="360" w:lineRule="auto"/>
        <w:ind w:firstLine="472" w:firstLineChars="225"/>
        <w:rPr>
          <w:szCs w:val="21"/>
          <w:highlight w:val="none"/>
        </w:rPr>
      </w:pPr>
      <w:r>
        <w:rPr>
          <w:rFonts w:hint="eastAsia"/>
          <w:szCs w:val="21"/>
          <w:highlight w:val="none"/>
        </w:rPr>
        <w:t>进口物品经营许可证号码：</w:t>
      </w:r>
    </w:p>
    <w:p>
      <w:pPr>
        <w:spacing w:line="360" w:lineRule="auto"/>
        <w:ind w:firstLine="472" w:firstLineChars="225"/>
        <w:rPr>
          <w:szCs w:val="21"/>
          <w:highlight w:val="none"/>
        </w:rPr>
      </w:pPr>
      <w:r>
        <w:rPr>
          <w:rFonts w:hint="eastAsia"/>
          <w:szCs w:val="21"/>
          <w:highlight w:val="none"/>
        </w:rPr>
        <w:t>主营：</w:t>
      </w:r>
    </w:p>
    <w:p>
      <w:pPr>
        <w:spacing w:line="360" w:lineRule="auto"/>
        <w:ind w:firstLine="472" w:firstLineChars="225"/>
        <w:rPr>
          <w:szCs w:val="21"/>
          <w:highlight w:val="none"/>
        </w:rPr>
      </w:pPr>
      <w:r>
        <w:rPr>
          <w:rFonts w:hint="eastAsia"/>
          <w:szCs w:val="21"/>
          <w:highlight w:val="none"/>
        </w:rPr>
        <w:t>兼营：</w:t>
      </w:r>
    </w:p>
    <w:p>
      <w:pPr>
        <w:spacing w:line="360" w:lineRule="auto"/>
        <w:rPr>
          <w:szCs w:val="21"/>
          <w:highlight w:val="none"/>
        </w:rPr>
      </w:pPr>
      <w:r>
        <w:rPr>
          <w:rFonts w:hint="eastAsia"/>
          <w:szCs w:val="21"/>
          <w:highlight w:val="none"/>
        </w:rPr>
        <w:t>说明：1.法定代表人为企业事业单位、国家机关、社会团体的主要行政负责人。</w:t>
      </w:r>
    </w:p>
    <w:p>
      <w:pPr>
        <w:spacing w:line="360" w:lineRule="auto"/>
        <w:rPr>
          <w:szCs w:val="21"/>
          <w:highlight w:val="none"/>
        </w:rPr>
      </w:pPr>
      <w:r>
        <w:rPr>
          <w:rFonts w:hint="eastAsia"/>
          <w:szCs w:val="21"/>
          <w:highlight w:val="none"/>
        </w:rPr>
        <w:t xml:space="preserve">            2.内容必须填写真实、清楚、涂改无效，不得转让、买卖。</w:t>
      </w:r>
    </w:p>
    <w:p>
      <w:pPr>
        <w:spacing w:line="360" w:lineRule="auto"/>
        <w:ind w:firstLine="630" w:firstLineChars="300"/>
        <w:rPr>
          <w:b/>
          <w:szCs w:val="21"/>
          <w:highlight w:val="none"/>
        </w:rPr>
      </w:pPr>
      <w:r>
        <w:rPr>
          <w:rFonts w:hint="eastAsia"/>
          <w:szCs w:val="21"/>
          <w:highlight w:val="none"/>
        </w:rPr>
        <w:t>3.将此证明书提交对方作为合同附件</w:t>
      </w:r>
      <w:r>
        <w:rPr>
          <w:rFonts w:hint="eastAsia"/>
          <w:b/>
          <w:szCs w:val="21"/>
          <w:highlight w:val="none"/>
        </w:rPr>
        <w:t>。</w:t>
      </w:r>
    </w:p>
    <w:p>
      <w:pPr>
        <w:spacing w:line="360" w:lineRule="auto"/>
        <w:ind w:firstLine="630" w:firstLineChars="300"/>
        <w:rPr>
          <w:szCs w:val="21"/>
          <w:highlight w:val="none"/>
        </w:rPr>
      </w:pPr>
      <w:r>
        <w:rPr>
          <w:rFonts w:hint="eastAsia"/>
          <w:szCs w:val="21"/>
          <w:highlight w:val="none"/>
        </w:rPr>
        <w:t>4.授权权限：全权代表本公司参与上述采购项目的报价，负责提供与签署确认一切文书资料，以及向贵方递交的任何补充承诺。</w:t>
      </w:r>
    </w:p>
    <w:p>
      <w:pPr>
        <w:spacing w:line="360" w:lineRule="auto"/>
        <w:ind w:firstLine="644" w:firstLineChars="307"/>
        <w:rPr>
          <w:szCs w:val="21"/>
          <w:highlight w:val="none"/>
        </w:rPr>
      </w:pPr>
      <w:r>
        <w:rPr>
          <w:rFonts w:hint="eastAsia"/>
          <w:szCs w:val="21"/>
          <w:highlight w:val="none"/>
        </w:rPr>
        <w:t>5.有效期限：大于等于本公司报价文件中标注的投标有效期相同，自本单位盖公章之日起生效。</w:t>
      </w:r>
    </w:p>
    <w:p>
      <w:pPr>
        <w:spacing w:line="360" w:lineRule="auto"/>
        <w:ind w:firstLine="644" w:firstLineChars="307"/>
        <w:rPr>
          <w:szCs w:val="21"/>
          <w:highlight w:val="none"/>
        </w:rPr>
      </w:pPr>
      <w:r>
        <w:rPr>
          <w:rFonts w:hint="eastAsia"/>
          <w:szCs w:val="21"/>
          <w:highlight w:val="none"/>
        </w:rPr>
        <w:t>6.投标签字代表为法定代表人，则本表不适用。</w:t>
      </w:r>
    </w:p>
    <w:p>
      <w:pPr>
        <w:spacing w:line="360" w:lineRule="auto"/>
        <w:ind w:firstLine="420"/>
        <w:rPr>
          <w:b/>
          <w:bCs/>
          <w:sz w:val="28"/>
          <w:szCs w:val="28"/>
          <w:highlight w:val="none"/>
        </w:rPr>
      </w:pPr>
      <w:r>
        <w:rPr>
          <w:rFonts w:hint="eastAsia"/>
          <w:sz w:val="28"/>
          <w:szCs w:val="28"/>
          <w:highlight w:val="none"/>
          <w:u w:val="single"/>
        </w:rPr>
        <mc:AlternateContent>
          <mc:Choice Requires="wps">
            <w:drawing>
              <wp:anchor distT="0" distB="0" distL="114300" distR="114300" simplePos="0" relativeHeight="251661312" behindDoc="0" locked="0" layoutInCell="1" allowOverlap="1">
                <wp:simplePos x="0" y="0"/>
                <wp:positionH relativeFrom="column">
                  <wp:posOffset>1828800</wp:posOffset>
                </wp:positionH>
                <wp:positionV relativeFrom="paragraph">
                  <wp:posOffset>0</wp:posOffset>
                </wp:positionV>
                <wp:extent cx="2333625" cy="1584325"/>
                <wp:effectExtent l="6350" t="6350" r="22225" b="9525"/>
                <wp:wrapNone/>
                <wp:docPr id="2" name="自选图形 4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被授权代表身份证复印件</w:t>
                            </w:r>
                          </w:p>
                        </w:txbxContent>
                      </wps:txbx>
                      <wps:bodyPr wrap="square" upright="1"/>
                    </wps:wsp>
                  </a:graphicData>
                </a:graphic>
              </wp:anchor>
            </w:drawing>
          </mc:Choice>
          <mc:Fallback>
            <w:pict>
              <v:shape id="自选图形 49" o:spid="_x0000_s1026" o:spt="176" type="#_x0000_t176" style="position:absolute;left:0pt;margin-left:144pt;margin-top:0pt;height:124.75pt;width:183.75pt;z-index:251661312;mso-width-relative:page;mso-height-relative:page;" fillcolor="#FFFFFF" filled="t" stroked="t" coordsize="21600,21600" o:gfxdata="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r+QIMtcAAAAIAQAADwAAAAAAAAABACAAAAAiAAAAZHJzL2Rvd25yZXYueG1sUEsBAhQAFAAAAAgA&#10;h07iQH0arowmAgAAVAQAAA4AAAAAAAAAAQAgAAAAJgEAAGRycy9lMm9Eb2MueG1sUEsFBgAAAAAG&#10;AAYAWQEAAL4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被授权代表身份证复印件</w:t>
                      </w:r>
                    </w:p>
                  </w:txbxContent>
                </v:textbox>
              </v:shape>
            </w:pict>
          </mc:Fallback>
        </mc:AlternateContent>
      </w:r>
    </w:p>
    <w:p>
      <w:pPr>
        <w:spacing w:line="360" w:lineRule="auto"/>
        <w:ind w:firstLine="420"/>
        <w:rPr>
          <w:b/>
          <w:bCs/>
          <w:sz w:val="28"/>
          <w:szCs w:val="28"/>
          <w:highlight w:val="none"/>
        </w:rPr>
      </w:pPr>
    </w:p>
    <w:p>
      <w:pPr>
        <w:spacing w:line="360" w:lineRule="auto"/>
        <w:ind w:firstLine="420"/>
        <w:rPr>
          <w:b/>
          <w:bCs/>
          <w:sz w:val="28"/>
          <w:szCs w:val="28"/>
          <w:highlight w:val="none"/>
        </w:rPr>
      </w:pPr>
    </w:p>
    <w:p>
      <w:pPr>
        <w:spacing w:line="360" w:lineRule="auto"/>
        <w:ind w:firstLine="420"/>
        <w:rPr>
          <w:b/>
          <w:bCs/>
          <w:sz w:val="28"/>
          <w:szCs w:val="28"/>
          <w:highlight w:val="none"/>
        </w:rPr>
      </w:pPr>
    </w:p>
    <w:p>
      <w:pPr>
        <w:spacing w:line="360" w:lineRule="auto"/>
        <w:ind w:firstLine="420"/>
        <w:rPr>
          <w:b/>
          <w:bCs/>
          <w:sz w:val="28"/>
          <w:szCs w:val="28"/>
          <w:highlight w:val="none"/>
        </w:rPr>
      </w:pPr>
    </w:p>
    <w:p>
      <w:pPr>
        <w:spacing w:line="360" w:lineRule="auto"/>
        <w:ind w:firstLine="420"/>
        <w:rPr>
          <w:b/>
          <w:bCs/>
          <w:sz w:val="28"/>
          <w:szCs w:val="28"/>
          <w:highlight w:val="none"/>
        </w:rPr>
      </w:pPr>
    </w:p>
    <w:p>
      <w:pPr>
        <w:pStyle w:val="4"/>
        <w:spacing w:before="157" w:after="157"/>
        <w:rPr>
          <w:color w:val="auto"/>
          <w:highlight w:val="none"/>
        </w:rPr>
      </w:pPr>
      <w:bookmarkStart w:id="142" w:name="_Toc269222888"/>
      <w:bookmarkStart w:id="143" w:name="_Toc19653"/>
      <w:bookmarkStart w:id="144" w:name="_Toc746"/>
      <w:bookmarkStart w:id="145" w:name="_Toc335995153"/>
      <w:bookmarkStart w:id="146" w:name="_Toc4073"/>
      <w:bookmarkStart w:id="147" w:name="_Toc465353227"/>
      <w:bookmarkStart w:id="148" w:name="_Toc390"/>
      <w:bookmarkStart w:id="149" w:name="_Toc334168844"/>
      <w:bookmarkStart w:id="150" w:name="_Toc13114_WPSOffice_Level2"/>
      <w:bookmarkStart w:id="151" w:name="_Toc330474265"/>
      <w:bookmarkStart w:id="152" w:name="_Toc456769637"/>
      <w:r>
        <w:rPr>
          <w:rFonts w:hint="eastAsia"/>
          <w:color w:val="auto"/>
          <w:highlight w:val="none"/>
        </w:rPr>
        <w:t>表5-3 关于资格的声明函</w:t>
      </w:r>
      <w:bookmarkEnd w:id="142"/>
      <w:bookmarkEnd w:id="143"/>
      <w:bookmarkEnd w:id="144"/>
    </w:p>
    <w:p>
      <w:pPr>
        <w:spacing w:line="360" w:lineRule="auto"/>
        <w:rPr>
          <w:rFonts w:hAnsi="宋体"/>
          <w:b/>
          <w:szCs w:val="21"/>
          <w:highlight w:val="none"/>
        </w:rPr>
      </w:pPr>
      <w:r>
        <w:rPr>
          <w:rFonts w:hint="eastAsia" w:hAnsi="宋体"/>
          <w:szCs w:val="21"/>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r>
        <w:rPr>
          <w:rFonts w:hint="eastAsia" w:ascii="宋体"/>
          <w:highlight w:val="none"/>
          <w:u w:val="single"/>
        </w:rPr>
        <w:t>：</w:t>
      </w:r>
    </w:p>
    <w:p>
      <w:pPr>
        <w:spacing w:line="360" w:lineRule="auto"/>
        <w:ind w:firstLine="420" w:firstLineChars="200"/>
        <w:rPr>
          <w:szCs w:val="21"/>
          <w:highlight w:val="none"/>
        </w:rPr>
      </w:pPr>
      <w:r>
        <w:rPr>
          <w:rFonts w:hint="eastAsia"/>
          <w:szCs w:val="21"/>
          <w:highlight w:val="none"/>
        </w:rPr>
        <w:t>本公司郑重承诺：</w:t>
      </w:r>
    </w:p>
    <w:p>
      <w:pPr>
        <w:spacing w:line="360" w:lineRule="auto"/>
        <w:ind w:firstLine="420" w:firstLineChars="200"/>
        <w:rPr>
          <w:szCs w:val="21"/>
          <w:highlight w:val="none"/>
        </w:rPr>
      </w:pPr>
      <w:r>
        <w:rPr>
          <w:rFonts w:hint="eastAsia"/>
          <w:szCs w:val="21"/>
          <w:highlight w:val="none"/>
        </w:rPr>
        <w:t>（一）我司参与</w:t>
      </w:r>
      <w:r>
        <w:rPr>
          <w:rFonts w:hint="eastAsia" w:hAnsi="宋体" w:cs="宋体"/>
          <w:b/>
          <w:szCs w:val="21"/>
          <w:highlight w:val="none"/>
          <w:u w:val="single"/>
          <w:lang w:eastAsia="zh-CN" w:bidi="ar"/>
        </w:rPr>
        <w:t>俊景路观景路改造提升</w:t>
      </w:r>
      <w:r>
        <w:rPr>
          <w:rFonts w:hint="eastAsia"/>
          <w:szCs w:val="21"/>
          <w:highlight w:val="none"/>
        </w:rPr>
        <w:t>的采购活动，我司在中华人民共和国境内注册的法人或其他组织，独立于采购人和采购代理机构，且不是为采购项目提供整体设计、规范编制或者项目管理、监理、检测等服务的供应商及其附属机构。</w:t>
      </w:r>
    </w:p>
    <w:p>
      <w:pPr>
        <w:spacing w:line="360" w:lineRule="auto"/>
        <w:ind w:firstLine="420" w:firstLineChars="200"/>
        <w:rPr>
          <w:szCs w:val="21"/>
          <w:highlight w:val="none"/>
        </w:rPr>
      </w:pPr>
      <w:r>
        <w:rPr>
          <w:rFonts w:hint="eastAsia"/>
          <w:szCs w:val="21"/>
          <w:highlight w:val="none"/>
        </w:rPr>
        <w:t>（二）我公司不存在“单位负责人为同一人或者存在直接控股、管理关系的不同供应商，参加</w:t>
      </w:r>
    </w:p>
    <w:p>
      <w:pPr>
        <w:spacing w:line="360" w:lineRule="auto"/>
        <w:rPr>
          <w:szCs w:val="21"/>
          <w:highlight w:val="none"/>
        </w:rPr>
      </w:pPr>
      <w:r>
        <w:rPr>
          <w:rFonts w:hint="eastAsia"/>
          <w:szCs w:val="21"/>
          <w:highlight w:val="none"/>
        </w:rPr>
        <w:t>同一合同项下的采购活动”的情形。</w:t>
      </w:r>
    </w:p>
    <w:p>
      <w:pPr>
        <w:spacing w:line="360" w:lineRule="auto"/>
        <w:ind w:firstLine="420" w:firstLineChars="200"/>
        <w:rPr>
          <w:szCs w:val="21"/>
          <w:highlight w:val="none"/>
        </w:rPr>
      </w:pPr>
      <w:r>
        <w:rPr>
          <w:rFonts w:hint="eastAsia"/>
          <w:szCs w:val="21"/>
          <w:highlight w:val="none"/>
        </w:rPr>
        <w:t>（三）我司符合《</w:t>
      </w:r>
      <w:r>
        <w:rPr>
          <w:rFonts w:hint="eastAsia" w:hAnsi="宋体"/>
          <w:szCs w:val="21"/>
          <w:highlight w:val="none"/>
        </w:rPr>
        <w:t>中华人民共和国政府采购法</w:t>
      </w:r>
      <w:r>
        <w:rPr>
          <w:rFonts w:hint="eastAsia"/>
          <w:szCs w:val="21"/>
          <w:highlight w:val="none"/>
        </w:rPr>
        <w:t>》第二十二条所规定的条件：</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1</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 xml:space="preserve">具有独立承担民事责任的能力（提供营业执照复印件）； </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2</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具有良好的商业信誉和健全的财务会计制度（提供近12个月内任何1个月编制的财务报表或20</w:t>
      </w:r>
      <w:r>
        <w:rPr>
          <w:rFonts w:hint="eastAsia" w:hAnsi="宋体" w:cs="宋体"/>
          <w:color w:val="auto"/>
          <w:sz w:val="21"/>
          <w:szCs w:val="21"/>
          <w:highlight w:val="none"/>
          <w:lang w:val="en-US" w:eastAsia="zh-CN"/>
        </w:rPr>
        <w:t>23年</w:t>
      </w:r>
      <w:r>
        <w:rPr>
          <w:rFonts w:hint="eastAsia" w:hAnsi="宋体" w:cs="宋体"/>
          <w:color w:val="auto"/>
          <w:sz w:val="21"/>
          <w:szCs w:val="21"/>
          <w:highlight w:val="none"/>
        </w:rPr>
        <w:t xml:space="preserve">的财务报告复印件加盖公章。）； </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3</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 xml:space="preserve">具有履行合同所必需的设备和专业技术能力； </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4</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 xml:space="preserve">有依法缴纳税收和社会保障资金的良好记录（提供近12个月内任何时间的依法缴纳税收和社会保障资金的证明文件。如依法免税或不需要缴纳社会保障资金的，应提供相关证明材料）； </w:t>
      </w:r>
    </w:p>
    <w:p>
      <w:pPr>
        <w:pStyle w:val="2"/>
        <w:ind w:firstLine="630" w:firstLineChars="300"/>
        <w:rPr>
          <w:rFonts w:hint="eastAsia" w:hAnsi="宋体" w:cs="宋体"/>
          <w:color w:val="auto"/>
          <w:sz w:val="21"/>
          <w:szCs w:val="21"/>
          <w:highlight w:val="none"/>
        </w:rPr>
      </w:pPr>
      <w:r>
        <w:rPr>
          <w:rFonts w:hint="eastAsia" w:hAnsi="宋体" w:cs="宋体"/>
          <w:color w:val="auto"/>
          <w:sz w:val="21"/>
          <w:szCs w:val="21"/>
          <w:highlight w:val="none"/>
        </w:rPr>
        <w:t>5</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参加政府采购活动前三年内，</w:t>
      </w:r>
      <w:r>
        <w:rPr>
          <w:rFonts w:hint="eastAsia" w:hAnsi="宋体" w:cs="宋体"/>
          <w:color w:val="auto"/>
          <w:sz w:val="21"/>
          <w:szCs w:val="21"/>
          <w:highlight w:val="none"/>
          <w:lang w:eastAsia="zh-CN"/>
        </w:rPr>
        <w:t>参加本项目投标前3年内，在经营活动中没有因违法经营受到刑事处罚或者责令停产停业、吊销许可证或者执照、200万元以上较大数额罚款等行政处罚的重大违法记录（按第五部分格式提供声明）</w:t>
      </w:r>
      <w:r>
        <w:rPr>
          <w:rFonts w:hint="eastAsia" w:hAnsi="宋体" w:cs="宋体"/>
          <w:color w:val="auto"/>
          <w:sz w:val="21"/>
          <w:szCs w:val="21"/>
          <w:highlight w:val="none"/>
        </w:rPr>
        <w:t>；</w:t>
      </w:r>
    </w:p>
    <w:p>
      <w:pPr>
        <w:pStyle w:val="2"/>
        <w:ind w:firstLine="630" w:firstLineChars="300"/>
        <w:rPr>
          <w:highlight w:val="none"/>
        </w:rPr>
      </w:pPr>
      <w:r>
        <w:rPr>
          <w:sz w:val="21"/>
          <w:szCs w:val="21"/>
          <w:highlight w:val="none"/>
        </w:rPr>
        <w:t>（四）保证响应</w:t>
      </w:r>
      <w:r>
        <w:rPr>
          <w:rFonts w:hint="eastAsia"/>
          <w:sz w:val="21"/>
          <w:szCs w:val="21"/>
          <w:highlight w:val="none"/>
        </w:rPr>
        <w:t>磋商</w:t>
      </w:r>
      <w:r>
        <w:rPr>
          <w:sz w:val="21"/>
          <w:szCs w:val="21"/>
          <w:highlight w:val="none"/>
        </w:rPr>
        <w:t>文件中所有★条款。</w:t>
      </w:r>
    </w:p>
    <w:p>
      <w:pPr>
        <w:spacing w:line="360" w:lineRule="auto"/>
        <w:ind w:firstLine="420" w:firstLineChars="200"/>
        <w:rPr>
          <w:szCs w:val="21"/>
          <w:highlight w:val="none"/>
        </w:rPr>
      </w:pPr>
      <w:r>
        <w:rPr>
          <w:rFonts w:hint="eastAsia"/>
          <w:szCs w:val="21"/>
          <w:highlight w:val="none"/>
        </w:rPr>
        <w:t>我司承诺参与采购活动中所提供的资料文件真实有效，正确无误。并对上述承诺的真实性负责。</w:t>
      </w:r>
    </w:p>
    <w:p>
      <w:pPr>
        <w:spacing w:line="360" w:lineRule="auto"/>
        <w:rPr>
          <w:szCs w:val="21"/>
          <w:highlight w:val="none"/>
        </w:rPr>
      </w:pPr>
      <w:r>
        <w:rPr>
          <w:rFonts w:hint="eastAsia"/>
          <w:szCs w:val="21"/>
          <w:highlight w:val="none"/>
        </w:rPr>
        <w:t xml:space="preserve">如有虚假，将依法承担相应责任。 </w:t>
      </w:r>
    </w:p>
    <w:p>
      <w:pPr>
        <w:spacing w:line="360" w:lineRule="auto"/>
        <w:rPr>
          <w:szCs w:val="21"/>
          <w:highlight w:val="none"/>
        </w:rPr>
      </w:pPr>
      <w:r>
        <w:rPr>
          <w:rFonts w:hint="eastAsia"/>
          <w:szCs w:val="21"/>
          <w:highlight w:val="none"/>
        </w:rPr>
        <w:t xml:space="preserve"> 附相关文件如下： </w:t>
      </w:r>
    </w:p>
    <w:p>
      <w:pPr>
        <w:spacing w:line="360" w:lineRule="auto"/>
        <w:ind w:firstLine="420" w:firstLineChars="200"/>
        <w:rPr>
          <w:szCs w:val="21"/>
          <w:highlight w:val="none"/>
        </w:rPr>
      </w:pPr>
      <w:r>
        <w:rPr>
          <w:rFonts w:hint="eastAsia" w:ascii="宋体" w:hAnsi="宋体"/>
          <w:szCs w:val="21"/>
          <w:highlight w:val="none"/>
        </w:rPr>
        <w:t>供应商</w:t>
      </w:r>
      <w:r>
        <w:rPr>
          <w:rFonts w:hint="eastAsia"/>
          <w:szCs w:val="21"/>
          <w:highlight w:val="none"/>
        </w:rPr>
        <w:t>必须按照本磋商文件第一部分《投标邀请函》的“合格供应商资格要求”要求提供相关证明</w:t>
      </w:r>
    </w:p>
    <w:p>
      <w:pPr>
        <w:spacing w:line="360" w:lineRule="auto"/>
        <w:rPr>
          <w:szCs w:val="21"/>
          <w:highlight w:val="none"/>
        </w:rPr>
      </w:pPr>
      <w:r>
        <w:rPr>
          <w:rFonts w:hint="eastAsia"/>
          <w:szCs w:val="21"/>
          <w:highlight w:val="none"/>
        </w:rPr>
        <w:t>文件复印件并加盖公章（包括但不限于营业执照、经营范围证明文件、财务报表、依法缴纳税收和</w:t>
      </w:r>
    </w:p>
    <w:p>
      <w:pPr>
        <w:spacing w:line="360" w:lineRule="auto"/>
        <w:rPr>
          <w:szCs w:val="21"/>
          <w:highlight w:val="none"/>
        </w:rPr>
      </w:pPr>
      <w:r>
        <w:rPr>
          <w:rFonts w:hint="eastAsia"/>
          <w:szCs w:val="21"/>
          <w:highlight w:val="none"/>
        </w:rPr>
        <w:t xml:space="preserve">社会保障资金的等证明文件）。 </w:t>
      </w:r>
    </w:p>
    <w:p>
      <w:pPr>
        <w:spacing w:line="360" w:lineRule="auto"/>
        <w:ind w:right="420"/>
        <w:rPr>
          <w:rFonts w:hAnsi="宋体"/>
          <w:szCs w:val="21"/>
          <w:highlight w:val="none"/>
        </w:rPr>
      </w:pPr>
    </w:p>
    <w:p>
      <w:pPr>
        <w:spacing w:line="360" w:lineRule="auto"/>
        <w:ind w:right="420" w:firstLine="5145" w:firstLineChars="2450"/>
        <w:rPr>
          <w:rFonts w:hAnsi="宋体"/>
          <w:szCs w:val="21"/>
          <w:highlight w:val="none"/>
        </w:rPr>
      </w:pPr>
    </w:p>
    <w:p>
      <w:pPr>
        <w:spacing w:line="360" w:lineRule="auto"/>
        <w:ind w:right="420"/>
        <w:jc w:val="both"/>
        <w:rPr>
          <w:rFonts w:hAnsi="宋体"/>
          <w:szCs w:val="21"/>
          <w:highlight w:val="none"/>
        </w:rPr>
      </w:pPr>
      <w:r>
        <w:rPr>
          <w:rFonts w:hint="eastAsia" w:ascii="宋体" w:hAnsi="宋体"/>
          <w:szCs w:val="21"/>
          <w:highlight w:val="none"/>
        </w:rPr>
        <w:t>供应商</w:t>
      </w:r>
      <w:r>
        <w:rPr>
          <w:rFonts w:hint="eastAsia" w:hAnsi="宋体"/>
          <w:szCs w:val="21"/>
          <w:highlight w:val="none"/>
        </w:rPr>
        <w:t>名称（加盖公章）：</w:t>
      </w:r>
    </w:p>
    <w:p>
      <w:pPr>
        <w:spacing w:line="360" w:lineRule="auto"/>
        <w:ind w:right="420" w:firstLine="5399" w:firstLineChars="2571"/>
        <w:rPr>
          <w:rFonts w:hAnsi="宋体"/>
          <w:szCs w:val="21"/>
          <w:highlight w:val="none"/>
        </w:rPr>
      </w:pPr>
    </w:p>
    <w:p>
      <w:pPr>
        <w:spacing w:line="360" w:lineRule="auto"/>
        <w:ind w:right="420"/>
        <w:rPr>
          <w:rFonts w:hAnsi="宋体"/>
          <w:szCs w:val="21"/>
          <w:highlight w:val="none"/>
        </w:rPr>
      </w:pPr>
      <w:r>
        <w:rPr>
          <w:rFonts w:hint="eastAsia" w:ascii="宋体" w:hAnsi="宋体"/>
          <w:szCs w:val="21"/>
          <w:highlight w:val="none"/>
        </w:rPr>
        <w:t>供应商</w:t>
      </w:r>
      <w:r>
        <w:rPr>
          <w:rFonts w:hint="eastAsia" w:hAnsi="宋体"/>
          <w:szCs w:val="21"/>
          <w:highlight w:val="none"/>
        </w:rPr>
        <w:t>法定代表人或其委托人签字：</w:t>
      </w:r>
    </w:p>
    <w:p>
      <w:pPr>
        <w:spacing w:line="360" w:lineRule="auto"/>
        <w:ind w:right="420" w:firstLine="5399" w:firstLineChars="2571"/>
        <w:rPr>
          <w:rFonts w:hAnsi="宋体"/>
          <w:szCs w:val="21"/>
          <w:highlight w:val="none"/>
        </w:rPr>
      </w:pPr>
    </w:p>
    <w:p>
      <w:pPr>
        <w:spacing w:line="360" w:lineRule="auto"/>
        <w:ind w:right="420"/>
        <w:rPr>
          <w:rFonts w:hAnsi="宋体"/>
          <w:szCs w:val="21"/>
          <w:highlight w:val="none"/>
        </w:rPr>
      </w:pPr>
      <w:r>
        <w:rPr>
          <w:rFonts w:hint="eastAsia" w:hAnsi="宋体"/>
          <w:szCs w:val="21"/>
          <w:highlight w:val="none"/>
        </w:rPr>
        <w:t>日  期：</w:t>
      </w:r>
    </w:p>
    <w:p>
      <w:pPr>
        <w:rPr>
          <w:highlight w:val="none"/>
        </w:rPr>
      </w:pPr>
      <w:r>
        <w:rPr>
          <w:rFonts w:hint="eastAsia" w:hAnsi="宋体"/>
          <w:szCs w:val="21"/>
          <w:highlight w:val="none"/>
        </w:rPr>
        <w:br w:type="page"/>
      </w:r>
    </w:p>
    <w:p>
      <w:pPr>
        <w:pStyle w:val="4"/>
        <w:spacing w:before="157" w:after="157"/>
        <w:rPr>
          <w:color w:val="auto"/>
          <w:sz w:val="24"/>
          <w:highlight w:val="none"/>
        </w:rPr>
      </w:pPr>
      <w:bookmarkStart w:id="153" w:name="_Toc4239"/>
      <w:r>
        <w:rPr>
          <w:rFonts w:hint="eastAsia"/>
          <w:color w:val="auto"/>
          <w:highlight w:val="none"/>
        </w:rPr>
        <w:t>表5-4  中小企业声明函（</w:t>
      </w:r>
      <w:r>
        <w:rPr>
          <w:rFonts w:hint="eastAsia"/>
          <w:color w:val="auto"/>
          <w:szCs w:val="21"/>
          <w:highlight w:val="none"/>
        </w:rPr>
        <w:t>供应商</w:t>
      </w:r>
      <w:r>
        <w:rPr>
          <w:rFonts w:hint="eastAsia"/>
          <w:color w:val="auto"/>
          <w:highlight w:val="none"/>
        </w:rPr>
        <w:t>为中小企业时适用）</w:t>
      </w:r>
      <w:bookmarkEnd w:id="145"/>
      <w:bookmarkEnd w:id="146"/>
      <w:bookmarkEnd w:id="147"/>
      <w:bookmarkEnd w:id="148"/>
      <w:bookmarkEnd w:id="149"/>
      <w:bookmarkEnd w:id="150"/>
      <w:bookmarkEnd w:id="151"/>
      <w:bookmarkEnd w:id="152"/>
      <w:bookmarkEnd w:id="153"/>
    </w:p>
    <w:p>
      <w:pPr>
        <w:pStyle w:val="3"/>
        <w:autoSpaceDE w:val="0"/>
        <w:autoSpaceDN w:val="0"/>
        <w:spacing w:line="240" w:lineRule="auto"/>
        <w:jc w:val="center"/>
        <w:rPr>
          <w:kern w:val="0"/>
          <w:highlight w:val="none"/>
        </w:rPr>
      </w:pPr>
      <w:bookmarkStart w:id="154" w:name="_Toc465353228"/>
      <w:bookmarkStart w:id="155" w:name="_Toc5006_WPSOffice_Level2"/>
      <w:bookmarkStart w:id="156" w:name="_Toc456769638"/>
      <w:bookmarkStart w:id="157" w:name="_Toc2709"/>
      <w:bookmarkStart w:id="158" w:name="_Toc7253"/>
      <w:r>
        <w:rPr>
          <w:rFonts w:hint="eastAsia"/>
          <w:kern w:val="0"/>
          <w:highlight w:val="none"/>
        </w:rPr>
        <w:t>中小企业声明函（工程、服务）</w:t>
      </w:r>
    </w:p>
    <w:p>
      <w:pPr>
        <w:rPr>
          <w:highlight w:val="none"/>
        </w:rPr>
      </w:pPr>
    </w:p>
    <w:p>
      <w:pPr>
        <w:pStyle w:val="2"/>
        <w:autoSpaceDE w:val="0"/>
        <w:autoSpaceDN w:val="0"/>
        <w:spacing w:line="360" w:lineRule="auto"/>
        <w:ind w:right="415" w:firstLine="472" w:firstLineChars="200"/>
        <w:rPr>
          <w:spacing w:val="-2"/>
          <w:kern w:val="0"/>
          <w:sz w:val="24"/>
          <w:szCs w:val="24"/>
          <w:highlight w:val="none"/>
        </w:rPr>
      </w:pPr>
      <w:r>
        <w:rPr>
          <w:rFonts w:hint="eastAsia"/>
          <w:spacing w:val="-2"/>
          <w:kern w:val="0"/>
          <w:sz w:val="24"/>
          <w:szCs w:val="24"/>
          <w:highlight w:val="none"/>
        </w:rPr>
        <w:t>本公司（联合体）郑重声明，根据《政府采购促进中小企业发展管理办法》（财库﹝2020﹞46号）的规定，本公司（联合体）参加</w:t>
      </w:r>
      <w:r>
        <w:rPr>
          <w:rFonts w:hint="eastAsia"/>
          <w:spacing w:val="-2"/>
          <w:kern w:val="0"/>
          <w:sz w:val="24"/>
          <w:szCs w:val="24"/>
          <w:highlight w:val="none"/>
          <w:u w:val="single"/>
        </w:rPr>
        <w:t>（单位名称</w:t>
      </w:r>
      <w:r>
        <w:rPr>
          <w:rFonts w:hint="eastAsia"/>
          <w:spacing w:val="-2"/>
          <w:kern w:val="0"/>
          <w:sz w:val="24"/>
          <w:szCs w:val="24"/>
          <w:highlight w:val="none"/>
        </w:rPr>
        <w:t>）的</w:t>
      </w:r>
      <w:r>
        <w:rPr>
          <w:rFonts w:hint="eastAsia"/>
          <w:spacing w:val="-2"/>
          <w:kern w:val="0"/>
          <w:sz w:val="24"/>
          <w:szCs w:val="24"/>
          <w:highlight w:val="none"/>
          <w:u w:val="single"/>
        </w:rPr>
        <w:t>（项目名称）</w:t>
      </w:r>
      <w:r>
        <w:rPr>
          <w:rFonts w:hint="eastAsia"/>
          <w:spacing w:val="-2"/>
          <w:kern w:val="0"/>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1.</w:t>
      </w:r>
      <w:r>
        <w:rPr>
          <w:rFonts w:hint="eastAsia" w:ascii="仿宋" w:hAnsi="仿宋" w:eastAsia="仿宋" w:cs="仿宋"/>
          <w:spacing w:val="-2"/>
          <w:sz w:val="24"/>
          <w:szCs w:val="24"/>
          <w:highlight w:val="none"/>
          <w:u w:val="single"/>
        </w:rPr>
        <w:t>（标的名称）</w:t>
      </w:r>
      <w:r>
        <w:rPr>
          <w:rFonts w:hint="eastAsia" w:ascii="仿宋" w:hAnsi="仿宋" w:eastAsia="仿宋" w:cs="仿宋"/>
          <w:spacing w:val="-2"/>
          <w:sz w:val="24"/>
          <w:szCs w:val="24"/>
          <w:highlight w:val="none"/>
        </w:rPr>
        <w:t>，属于</w:t>
      </w:r>
      <w:r>
        <w:rPr>
          <w:rFonts w:hint="eastAsia" w:ascii="仿宋" w:hAnsi="仿宋" w:eastAsia="仿宋" w:cs="仿宋"/>
          <w:spacing w:val="-2"/>
          <w:sz w:val="24"/>
          <w:szCs w:val="24"/>
          <w:highlight w:val="none"/>
          <w:u w:val="single"/>
        </w:rPr>
        <w:t>（采购文件中明确的所属行业）</w:t>
      </w:r>
      <w:r>
        <w:rPr>
          <w:rFonts w:hint="eastAsia" w:ascii="仿宋" w:hAnsi="仿宋" w:eastAsia="仿宋" w:cs="仿宋"/>
          <w:spacing w:val="-2"/>
          <w:sz w:val="24"/>
          <w:szCs w:val="24"/>
          <w:highlight w:val="none"/>
        </w:rPr>
        <w:t>；承建（承接）企业为</w:t>
      </w:r>
      <w:r>
        <w:rPr>
          <w:rFonts w:hint="eastAsia" w:ascii="仿宋" w:hAnsi="仿宋" w:eastAsia="仿宋" w:cs="仿宋"/>
          <w:spacing w:val="-2"/>
          <w:sz w:val="24"/>
          <w:szCs w:val="24"/>
          <w:highlight w:val="none"/>
          <w:u w:val="single"/>
        </w:rPr>
        <w:t>（企业名称）</w:t>
      </w:r>
      <w:r>
        <w:rPr>
          <w:rFonts w:hint="eastAsia" w:ascii="仿宋" w:hAnsi="仿宋" w:eastAsia="仿宋" w:cs="仿宋"/>
          <w:spacing w:val="-2"/>
          <w:sz w:val="24"/>
          <w:szCs w:val="24"/>
          <w:highlight w:val="none"/>
        </w:rPr>
        <w:t>，从业人员</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人，营业收入为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万元，资产总额为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w:t>
      </w:r>
      <w:r>
        <w:rPr>
          <w:rFonts w:hint="eastAsia" w:ascii="仿宋" w:hAnsi="仿宋" w:eastAsia="仿宋" w:cs="仿宋"/>
          <w:spacing w:val="-2"/>
          <w:sz w:val="24"/>
          <w:szCs w:val="24"/>
          <w:highlight w:val="none"/>
          <w:vertAlign w:val="superscript"/>
        </w:rPr>
        <w:t>1</w:t>
      </w:r>
      <w:r>
        <w:rPr>
          <w:rFonts w:hint="eastAsia" w:ascii="仿宋" w:hAnsi="仿宋" w:eastAsia="仿宋" w:cs="仿宋"/>
          <w:spacing w:val="-2"/>
          <w:sz w:val="24"/>
          <w:szCs w:val="24"/>
          <w:highlight w:val="none"/>
        </w:rPr>
        <w:t>，属于</w:t>
      </w:r>
      <w:r>
        <w:rPr>
          <w:rFonts w:hint="eastAsia" w:ascii="仿宋" w:hAnsi="仿宋" w:eastAsia="仿宋" w:cs="仿宋"/>
          <w:spacing w:val="-2"/>
          <w:sz w:val="24"/>
          <w:szCs w:val="24"/>
          <w:highlight w:val="none"/>
          <w:u w:val="single"/>
        </w:rPr>
        <w:t>（中型企业、小型企业、微型企业）</w:t>
      </w:r>
      <w:r>
        <w:rPr>
          <w:rFonts w:hint="eastAsia" w:ascii="仿宋" w:hAnsi="仿宋" w:eastAsia="仿宋" w:cs="仿宋"/>
          <w:spacing w:val="-2"/>
          <w:sz w:val="24"/>
          <w:szCs w:val="24"/>
          <w:highlight w:val="none"/>
        </w:rPr>
        <w:t>；</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2.</w:t>
      </w:r>
      <w:r>
        <w:rPr>
          <w:rFonts w:hint="eastAsia" w:ascii="仿宋" w:hAnsi="仿宋" w:eastAsia="仿宋" w:cs="仿宋"/>
          <w:spacing w:val="-2"/>
          <w:sz w:val="24"/>
          <w:szCs w:val="24"/>
          <w:highlight w:val="none"/>
          <w:u w:val="single"/>
        </w:rPr>
        <w:t>（标的名称）</w:t>
      </w:r>
      <w:r>
        <w:rPr>
          <w:rFonts w:hint="eastAsia" w:ascii="仿宋" w:hAnsi="仿宋" w:eastAsia="仿宋" w:cs="仿宋"/>
          <w:spacing w:val="-2"/>
          <w:sz w:val="24"/>
          <w:szCs w:val="24"/>
          <w:highlight w:val="none"/>
        </w:rPr>
        <w:t>，属于</w:t>
      </w:r>
      <w:r>
        <w:rPr>
          <w:rFonts w:hint="eastAsia" w:ascii="仿宋" w:hAnsi="仿宋" w:eastAsia="仿宋" w:cs="仿宋"/>
          <w:spacing w:val="-2"/>
          <w:sz w:val="24"/>
          <w:szCs w:val="24"/>
          <w:highlight w:val="none"/>
          <w:u w:val="single"/>
        </w:rPr>
        <w:t>（采购文件中明确的所属行业）</w:t>
      </w:r>
      <w:r>
        <w:rPr>
          <w:rFonts w:hint="eastAsia" w:ascii="仿宋" w:hAnsi="仿宋" w:eastAsia="仿宋" w:cs="仿宋"/>
          <w:spacing w:val="-2"/>
          <w:sz w:val="24"/>
          <w:szCs w:val="24"/>
          <w:highlight w:val="none"/>
        </w:rPr>
        <w:t>；承建（承接）企业为</w:t>
      </w:r>
      <w:r>
        <w:rPr>
          <w:rFonts w:hint="eastAsia" w:ascii="仿宋" w:hAnsi="仿宋" w:eastAsia="仿宋" w:cs="仿宋"/>
          <w:spacing w:val="-2"/>
          <w:sz w:val="24"/>
          <w:szCs w:val="24"/>
          <w:highlight w:val="none"/>
          <w:u w:val="single"/>
        </w:rPr>
        <w:t>（企业名称）</w:t>
      </w:r>
      <w:r>
        <w:rPr>
          <w:rFonts w:hint="eastAsia" w:ascii="仿宋" w:hAnsi="仿宋" w:eastAsia="仿宋" w:cs="仿宋"/>
          <w:spacing w:val="-2"/>
          <w:sz w:val="24"/>
          <w:szCs w:val="24"/>
          <w:highlight w:val="none"/>
        </w:rPr>
        <w:t>，从业人员</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人，营业收入为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万元，资产总额为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万元，属于</w:t>
      </w:r>
      <w:r>
        <w:rPr>
          <w:rFonts w:hint="eastAsia" w:ascii="仿宋" w:hAnsi="仿宋" w:eastAsia="仿宋" w:cs="仿宋"/>
          <w:spacing w:val="-2"/>
          <w:sz w:val="24"/>
          <w:szCs w:val="24"/>
          <w:highlight w:val="none"/>
          <w:u w:val="single"/>
        </w:rPr>
        <w:t>（中型企业、小型企业、微型企业）</w:t>
      </w:r>
      <w:r>
        <w:rPr>
          <w:rFonts w:hint="eastAsia" w:ascii="仿宋" w:hAnsi="仿宋" w:eastAsia="仿宋" w:cs="仿宋"/>
          <w:spacing w:val="-2"/>
          <w:sz w:val="24"/>
          <w:szCs w:val="24"/>
          <w:highlight w:val="none"/>
        </w:rPr>
        <w:t>；</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以上企业，不属于大企业的分支机构，不存在控股股东为大企业的情形，也不存在与大企业的负责人为同一人的情形。</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本企业对上述声明内容的真实性负责。如有虚假，将依法承担相应责任。</w:t>
      </w:r>
    </w:p>
    <w:p>
      <w:pPr>
        <w:pStyle w:val="2"/>
        <w:rPr>
          <w:sz w:val="24"/>
          <w:szCs w:val="24"/>
          <w:highlight w:val="none"/>
        </w:rPr>
      </w:pPr>
    </w:p>
    <w:p>
      <w:pPr>
        <w:widowControl w:val="0"/>
        <w:spacing w:line="360" w:lineRule="auto"/>
        <w:jc w:val="right"/>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单位名称（盖章）：</w:t>
      </w:r>
    </w:p>
    <w:p>
      <w:pPr>
        <w:widowControl w:val="0"/>
        <w:spacing w:line="360" w:lineRule="auto"/>
        <w:jc w:val="right"/>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日期：</w:t>
      </w:r>
    </w:p>
    <w:p>
      <w:pPr>
        <w:rPr>
          <w:rFonts w:ascii="宋体" w:hAnsi="宋体" w:cs="宋体"/>
          <w:spacing w:val="6"/>
          <w:kern w:val="2"/>
          <w:szCs w:val="21"/>
          <w:highlight w:val="none"/>
          <w:lang w:bidi="ar"/>
        </w:rPr>
      </w:pPr>
    </w:p>
    <w:p>
      <w:pPr>
        <w:pStyle w:val="6"/>
        <w:keepNext/>
        <w:keepLines/>
        <w:numPr>
          <w:ilvl w:val="2"/>
          <w:numId w:val="0"/>
        </w:numPr>
        <w:tabs>
          <w:tab w:val="center" w:pos="4450"/>
          <w:tab w:val="left" w:pos="6396"/>
          <w:tab w:val="clear" w:pos="851"/>
        </w:tabs>
        <w:wordWrap w:val="0"/>
        <w:jc w:val="center"/>
        <w:rPr>
          <w:rFonts w:hAnsi="宋体" w:cs="宋体"/>
          <w:b/>
          <w:bCs/>
          <w:kern w:val="2"/>
          <w:sz w:val="28"/>
          <w:szCs w:val="28"/>
          <w:highlight w:val="none"/>
        </w:rPr>
      </w:pPr>
      <w:r>
        <w:rPr>
          <w:highlight w:val="none"/>
        </w:rPr>
        <w:br w:type="page"/>
      </w:r>
      <w:bookmarkStart w:id="159" w:name="_Toc18502"/>
      <w:r>
        <w:rPr>
          <w:rFonts w:hint="eastAsia" w:hAnsi="宋体" w:cs="宋体"/>
          <w:b/>
          <w:bCs/>
          <w:kern w:val="2"/>
          <w:sz w:val="28"/>
          <w:szCs w:val="28"/>
          <w:highlight w:val="none"/>
        </w:rPr>
        <w:t>监狱企业的证明文件（供应商为监狱企业时适用）</w:t>
      </w:r>
      <w:bookmarkEnd w:id="159"/>
    </w:p>
    <w:p>
      <w:pPr>
        <w:spacing w:line="360" w:lineRule="auto"/>
        <w:ind w:firstLine="420" w:firstLineChars="200"/>
        <w:rPr>
          <w:rFonts w:ascii="宋体" w:hAnsi="宋体" w:cs="宋体"/>
          <w:kern w:val="2"/>
          <w:szCs w:val="21"/>
          <w:highlight w:val="none"/>
        </w:rPr>
      </w:pPr>
      <w:r>
        <w:rPr>
          <w:rFonts w:hint="eastAsia" w:ascii="宋体" w:hAnsi="宋体" w:cs="宋体"/>
          <w:kern w:val="2"/>
          <w:szCs w:val="21"/>
          <w:highlight w:val="none"/>
        </w:rPr>
        <w:t>监狱企业参加政府采购活动时，应当提供由省级以上监狱管理局、戒毒管理局（含新疆生产建设兵团）出具的属于监狱企业的证明文件。监狱企业视同小型、微型企业。</w:t>
      </w:r>
    </w:p>
    <w:p>
      <w:pPr>
        <w:jc w:val="right"/>
        <w:rPr>
          <w:rFonts w:hAnsi="宋体"/>
          <w:szCs w:val="21"/>
          <w:highlight w:val="none"/>
        </w:rPr>
        <w:sectPr>
          <w:type w:val="nextColumn"/>
          <w:pgSz w:w="11906" w:h="16838"/>
          <w:pgMar w:top="930" w:right="1134" w:bottom="907" w:left="1134" w:header="850" w:footer="850" w:gutter="0"/>
          <w:cols w:space="720" w:num="1"/>
          <w:docGrid w:type="lines" w:linePitch="314" w:charSpace="0"/>
        </w:sectPr>
      </w:pPr>
    </w:p>
    <w:p>
      <w:pPr>
        <w:pStyle w:val="4"/>
        <w:rPr>
          <w:color w:val="auto"/>
          <w:highlight w:val="none"/>
        </w:rPr>
      </w:pPr>
      <w:bookmarkStart w:id="160" w:name="_Toc31065"/>
      <w:bookmarkStart w:id="161" w:name="_Toc37"/>
      <w:bookmarkStart w:id="162" w:name="_Toc6926"/>
      <w:r>
        <w:rPr>
          <w:rFonts w:hint="eastAsia"/>
          <w:color w:val="auto"/>
          <w:highlight w:val="none"/>
        </w:rPr>
        <w:t>表5-5 残疾人福利性单位声明函</w:t>
      </w:r>
      <w:bookmarkEnd w:id="160"/>
      <w:bookmarkEnd w:id="161"/>
    </w:p>
    <w:p>
      <w:pPr>
        <w:spacing w:line="588" w:lineRule="exact"/>
        <w:ind w:firstLine="442" w:firstLineChars="200"/>
        <w:jc w:val="center"/>
        <w:rPr>
          <w:rFonts w:ascii="宋体" w:hAnsi="宋体" w:cs="Arial"/>
          <w:b/>
          <w:sz w:val="22"/>
          <w:szCs w:val="22"/>
          <w:highlight w:val="none"/>
        </w:rPr>
      </w:pPr>
      <w:r>
        <w:rPr>
          <w:rFonts w:hint="eastAsia" w:ascii="宋体" w:hAnsi="宋体" w:cs="Arial"/>
          <w:b/>
          <w:sz w:val="22"/>
          <w:szCs w:val="22"/>
          <w:highlight w:val="none"/>
        </w:rPr>
        <w:t>（报价为残疾人福利性单位适用）</w:t>
      </w:r>
      <w:bookmarkEnd w:id="162"/>
    </w:p>
    <w:p>
      <w:pPr>
        <w:rPr>
          <w:highlight w:val="none"/>
        </w:rPr>
      </w:pPr>
    </w:p>
    <w:p>
      <w:pPr>
        <w:spacing w:line="588" w:lineRule="exact"/>
        <w:ind w:firstLine="444" w:firstLineChars="200"/>
        <w:rPr>
          <w:rFonts w:hAnsi="宋体" w:cs="宋体"/>
          <w:spacing w:val="6"/>
          <w:szCs w:val="21"/>
          <w:highlight w:val="none"/>
        </w:rPr>
      </w:pPr>
      <w:r>
        <w:rPr>
          <w:rFonts w:hint="eastAsia" w:hAnsi="宋体" w:cs="宋体"/>
          <w:spacing w:val="6"/>
          <w:szCs w:val="21"/>
          <w:highlight w:val="none"/>
        </w:rPr>
        <w:t>本单位郑重声明，根据《财政部 民政部 中国残疾人联合会关于促进残疾人就业政府采购政策的通知》（财库</w:t>
      </w:r>
      <w:r>
        <w:rPr>
          <w:rFonts w:hint="eastAsia" w:hAnsi="宋体" w:cs="宋体"/>
          <w:szCs w:val="21"/>
          <w:highlight w:val="none"/>
        </w:rPr>
        <w:t>〔2017〕 141</w:t>
      </w:r>
      <w:r>
        <w:rPr>
          <w:rFonts w:hint="eastAsia" w:hAnsi="宋体" w:cs="宋体"/>
          <w:spacing w:val="6"/>
          <w:szCs w:val="21"/>
          <w:highlight w:val="none"/>
        </w:rPr>
        <w:t>号）的规定，本单位为符合条件的残疾人福利性单位，且本单位参加</w:t>
      </w:r>
      <w:r>
        <w:rPr>
          <w:rFonts w:hint="eastAsia" w:hAnsi="宋体" w:cs="宋体"/>
          <w:spacing w:val="6"/>
          <w:szCs w:val="21"/>
          <w:highlight w:val="none"/>
          <w:u w:val="single"/>
        </w:rPr>
        <w:t>（采购人名称）</w:t>
      </w:r>
      <w:r>
        <w:rPr>
          <w:rFonts w:hint="eastAsia" w:hAnsi="宋体" w:cs="宋体"/>
          <w:spacing w:val="6"/>
          <w:szCs w:val="21"/>
          <w:highlight w:val="none"/>
        </w:rPr>
        <w:t>单位的</w:t>
      </w:r>
      <w:r>
        <w:rPr>
          <w:rFonts w:hint="eastAsia" w:hAnsi="宋体" w:cs="宋体"/>
          <w:spacing w:val="6"/>
          <w:szCs w:val="21"/>
          <w:highlight w:val="none"/>
          <w:u w:val="single"/>
        </w:rPr>
        <w:t xml:space="preserve"> （采购项目名称）</w:t>
      </w:r>
      <w:r>
        <w:rPr>
          <w:rFonts w:hint="eastAsia" w:hAnsi="宋体" w:cs="宋体"/>
          <w:spacing w:val="6"/>
          <w:szCs w:val="21"/>
          <w:highlight w:val="none"/>
        </w:rPr>
        <w:t>项目采购活动提供本单位制造的货物（由本单位承担工程/提供服务），或者提供其他残疾人福利性单位制造的货物（不包括使用非残疾人福利性单位注册商标的货物）。</w:t>
      </w:r>
    </w:p>
    <w:p>
      <w:pPr>
        <w:spacing w:line="588" w:lineRule="exact"/>
        <w:ind w:firstLine="444" w:firstLineChars="200"/>
        <w:rPr>
          <w:rFonts w:hAnsi="宋体" w:cs="宋体"/>
          <w:spacing w:val="6"/>
          <w:szCs w:val="21"/>
          <w:highlight w:val="none"/>
        </w:rPr>
      </w:pPr>
      <w:r>
        <w:rPr>
          <w:rFonts w:hint="eastAsia" w:hAnsi="宋体" w:cs="宋体"/>
          <w:spacing w:val="6"/>
          <w:szCs w:val="21"/>
          <w:highlight w:val="none"/>
        </w:rPr>
        <w:t>本单位对上述声明的真实性负责。如有虚假，将依法承担相应责任。</w:t>
      </w:r>
    </w:p>
    <w:p>
      <w:pPr>
        <w:spacing w:line="588" w:lineRule="exact"/>
        <w:ind w:firstLine="444" w:firstLineChars="200"/>
        <w:rPr>
          <w:rFonts w:hAnsi="宋体" w:cs="宋体"/>
          <w:spacing w:val="6"/>
          <w:szCs w:val="21"/>
          <w:highlight w:val="none"/>
        </w:rPr>
      </w:pPr>
    </w:p>
    <w:p>
      <w:pPr>
        <w:spacing w:line="588" w:lineRule="exact"/>
        <w:ind w:firstLine="444" w:firstLineChars="200"/>
        <w:rPr>
          <w:rFonts w:hAnsi="宋体" w:cs="宋体"/>
          <w:spacing w:val="6"/>
          <w:szCs w:val="21"/>
          <w:highlight w:val="none"/>
        </w:rPr>
      </w:pPr>
    </w:p>
    <w:p>
      <w:pPr>
        <w:tabs>
          <w:tab w:val="left" w:pos="4860"/>
        </w:tabs>
        <w:spacing w:line="588" w:lineRule="exact"/>
        <w:ind w:right="1560" w:firstLine="444" w:firstLineChars="200"/>
        <w:jc w:val="right"/>
        <w:rPr>
          <w:rFonts w:hAnsi="宋体" w:cs="宋体"/>
          <w:spacing w:val="6"/>
          <w:szCs w:val="21"/>
          <w:highlight w:val="none"/>
        </w:rPr>
      </w:pPr>
      <w:r>
        <w:rPr>
          <w:rFonts w:hint="eastAsia" w:hAnsi="宋体" w:cs="宋体"/>
          <w:spacing w:val="6"/>
          <w:szCs w:val="21"/>
          <w:highlight w:val="none"/>
        </w:rPr>
        <w:t>单位名称（盖章）：</w:t>
      </w:r>
    </w:p>
    <w:p>
      <w:pPr>
        <w:spacing w:line="588" w:lineRule="exact"/>
        <w:ind w:firstLine="444" w:firstLineChars="200"/>
        <w:rPr>
          <w:rFonts w:hAnsi="宋体" w:cs="宋体"/>
          <w:spacing w:val="6"/>
          <w:szCs w:val="21"/>
          <w:highlight w:val="none"/>
        </w:rPr>
      </w:pPr>
      <w:r>
        <w:rPr>
          <w:rFonts w:hint="eastAsia" w:hAnsi="宋体" w:cs="宋体"/>
          <w:spacing w:val="6"/>
          <w:szCs w:val="21"/>
          <w:highlight w:val="none"/>
        </w:rPr>
        <w:t xml:space="preserve">                                                                                                  </w:t>
      </w:r>
      <w:bookmarkStart w:id="163" w:name="_Toc19495"/>
      <w:bookmarkStart w:id="164" w:name="_Toc1188"/>
      <w:bookmarkStart w:id="165" w:name="_Toc23764"/>
      <w:bookmarkStart w:id="166" w:name="_Toc20436"/>
      <w:bookmarkStart w:id="167" w:name="_Toc18119"/>
      <w:r>
        <w:rPr>
          <w:rFonts w:hint="eastAsia" w:hAnsi="宋体" w:cs="宋体"/>
          <w:spacing w:val="6"/>
          <w:szCs w:val="21"/>
          <w:highlight w:val="none"/>
        </w:rPr>
        <w:t>日  期：</w:t>
      </w:r>
      <w:bookmarkEnd w:id="163"/>
      <w:bookmarkEnd w:id="164"/>
      <w:bookmarkEnd w:id="165"/>
      <w:bookmarkEnd w:id="166"/>
      <w:bookmarkEnd w:id="167"/>
    </w:p>
    <w:p>
      <w:pPr>
        <w:spacing w:line="588" w:lineRule="exact"/>
        <w:ind w:firstLine="444" w:firstLineChars="200"/>
        <w:rPr>
          <w:rFonts w:hAnsi="宋体" w:cs="宋体"/>
          <w:spacing w:val="6"/>
          <w:szCs w:val="21"/>
          <w:highlight w:val="none"/>
        </w:rPr>
      </w:pPr>
    </w:p>
    <w:p>
      <w:pPr>
        <w:tabs>
          <w:tab w:val="left" w:pos="360"/>
        </w:tabs>
        <w:spacing w:line="360" w:lineRule="auto"/>
        <w:ind w:left="703" w:hanging="703" w:hangingChars="335"/>
        <w:rPr>
          <w:rFonts w:hAnsi="宋体" w:cs="宋体"/>
          <w:szCs w:val="21"/>
          <w:highlight w:val="none"/>
        </w:rPr>
      </w:pPr>
      <w:r>
        <w:rPr>
          <w:rFonts w:hint="eastAsia" w:hAnsi="宋体" w:cs="宋体"/>
          <w:szCs w:val="21"/>
          <w:highlight w:val="none"/>
        </w:rPr>
        <w:t>注：1、符合条件的残疾人福利性单位在参加政府采购活动时，应当提供本声明函，并对声明的真实性负责。</w:t>
      </w:r>
    </w:p>
    <w:p>
      <w:pPr>
        <w:tabs>
          <w:tab w:val="left" w:pos="360"/>
        </w:tabs>
        <w:spacing w:line="360" w:lineRule="auto"/>
        <w:ind w:firstLine="420" w:firstLineChars="200"/>
        <w:rPr>
          <w:rFonts w:hAnsi="宋体" w:cs="宋体"/>
          <w:szCs w:val="21"/>
          <w:highlight w:val="none"/>
        </w:rPr>
      </w:pPr>
      <w:r>
        <w:rPr>
          <w:rFonts w:hint="eastAsia" w:hAnsi="宋体" w:cs="宋体"/>
          <w:szCs w:val="21"/>
          <w:highlight w:val="none"/>
        </w:rPr>
        <w:t>2、</w:t>
      </w:r>
      <w:r>
        <w:rPr>
          <w:rFonts w:hint="eastAsia" w:hAnsi="宋体" w:cs="宋体"/>
          <w:b/>
          <w:szCs w:val="21"/>
          <w:highlight w:val="none"/>
        </w:rPr>
        <w:t>中标（成交）供应商为残疾人福利性单位的，发布的中标（成交）结果同时公告其《残疾人福利性单位声明函》，接受社会监督。</w:t>
      </w:r>
    </w:p>
    <w:p>
      <w:pPr>
        <w:tabs>
          <w:tab w:val="left" w:pos="360"/>
        </w:tabs>
        <w:spacing w:line="360" w:lineRule="auto"/>
        <w:ind w:firstLine="420" w:firstLineChars="200"/>
        <w:rPr>
          <w:rFonts w:hAnsi="宋体" w:cs="宋体"/>
          <w:szCs w:val="21"/>
          <w:highlight w:val="none"/>
        </w:rPr>
      </w:pPr>
      <w:r>
        <w:rPr>
          <w:rFonts w:hint="eastAsia" w:hAnsi="宋体" w:cs="宋体"/>
          <w:szCs w:val="21"/>
          <w:highlight w:val="none"/>
        </w:rPr>
        <w:t>3、供应商提供的《残疾人福利性单位声明函》与事实不符的，依照《政府采购法》第七十七条第一款的规定追究法律责任。</w:t>
      </w:r>
    </w:p>
    <w:p>
      <w:pPr>
        <w:tabs>
          <w:tab w:val="left" w:pos="360"/>
        </w:tabs>
        <w:spacing w:line="360" w:lineRule="auto"/>
        <w:ind w:firstLine="420" w:firstLineChars="200"/>
        <w:rPr>
          <w:rFonts w:hAnsi="宋体" w:cs="宋体"/>
          <w:szCs w:val="21"/>
          <w:highlight w:val="none"/>
        </w:rPr>
      </w:pPr>
      <w:r>
        <w:rPr>
          <w:rFonts w:hint="eastAsia" w:hAnsi="宋体" w:cs="宋体"/>
          <w:szCs w:val="21"/>
          <w:highlight w:val="none"/>
        </w:rPr>
        <w:t>4、政策文件链接：财政部 民政部 中国残疾人联合会关于促进残疾人就业政府采购政策的通知（</w:t>
      </w:r>
      <w:r>
        <w:rPr>
          <w:highlight w:val="none"/>
        </w:rPr>
        <w:fldChar w:fldCharType="begin"/>
      </w:r>
      <w:r>
        <w:rPr>
          <w:highlight w:val="none"/>
        </w:rPr>
        <w:instrText xml:space="preserve"> HYPERLINK "http://www.mof.gov.cn/gp/xxgkml/gks/201709/t20170901_2689542.html" </w:instrText>
      </w:r>
      <w:r>
        <w:rPr>
          <w:highlight w:val="none"/>
        </w:rPr>
        <w:fldChar w:fldCharType="separate"/>
      </w:r>
      <w:r>
        <w:rPr>
          <w:rStyle w:val="50"/>
          <w:rFonts w:hint="eastAsia" w:hAnsi="宋体" w:cs="宋体"/>
          <w:color w:val="auto"/>
          <w:szCs w:val="21"/>
          <w:highlight w:val="none"/>
        </w:rPr>
        <w:t>http://www.mof.gov.cn/gp/xxgkml/gks/201709/t20170901_2689542.html</w:t>
      </w:r>
      <w:r>
        <w:rPr>
          <w:rStyle w:val="50"/>
          <w:rFonts w:hint="eastAsia" w:hAnsi="宋体" w:cs="宋体"/>
          <w:color w:val="auto"/>
          <w:szCs w:val="21"/>
          <w:highlight w:val="none"/>
        </w:rPr>
        <w:fldChar w:fldCharType="end"/>
      </w:r>
      <w:r>
        <w:rPr>
          <w:rFonts w:hint="eastAsia" w:hAnsi="宋体" w:cs="宋体"/>
          <w:szCs w:val="21"/>
          <w:highlight w:val="none"/>
        </w:rPr>
        <w:t>）</w:t>
      </w:r>
    </w:p>
    <w:p>
      <w:pPr>
        <w:tabs>
          <w:tab w:val="left" w:pos="360"/>
        </w:tabs>
        <w:spacing w:line="360" w:lineRule="auto"/>
        <w:ind w:firstLine="422" w:firstLineChars="200"/>
        <w:rPr>
          <w:rFonts w:hAnsi="宋体" w:cs="宋体"/>
          <w:b/>
          <w:bCs/>
          <w:szCs w:val="21"/>
          <w:highlight w:val="none"/>
        </w:rPr>
      </w:pPr>
      <w:r>
        <w:rPr>
          <w:rFonts w:hint="eastAsia" w:hAnsi="宋体" w:cs="宋体"/>
          <w:b/>
          <w:bCs/>
          <w:szCs w:val="21"/>
          <w:highlight w:val="none"/>
        </w:rPr>
        <w:t>5、若供应商不是残疾人福利性单位的，可备注说明为非残疾人福利性单位。</w:t>
      </w:r>
    </w:p>
    <w:p>
      <w:pPr>
        <w:pStyle w:val="4"/>
        <w:rPr>
          <w:rFonts w:cs="宋体"/>
          <w:b w:val="0"/>
          <w:color w:val="auto"/>
          <w:sz w:val="21"/>
          <w:szCs w:val="21"/>
          <w:highlight w:val="none"/>
        </w:rPr>
      </w:pPr>
      <w:r>
        <w:rPr>
          <w:color w:val="auto"/>
          <w:highlight w:val="none"/>
        </w:rPr>
        <w:br w:type="page"/>
      </w:r>
      <w:bookmarkStart w:id="168" w:name="_Toc30989"/>
      <w:bookmarkStart w:id="169" w:name="_Toc5954"/>
      <w:bookmarkStart w:id="170" w:name="_Toc16243258"/>
      <w:r>
        <w:rPr>
          <w:rFonts w:hint="eastAsia"/>
          <w:color w:val="auto"/>
          <w:highlight w:val="none"/>
        </w:rPr>
        <w:t>表5-6 投标人投标的产品属于“优先采购品目清单产品”声明函</w:t>
      </w:r>
      <w:bookmarkEnd w:id="168"/>
      <w:bookmarkEnd w:id="169"/>
      <w:bookmarkEnd w:id="170"/>
    </w:p>
    <w:p>
      <w:pPr>
        <w:rPr>
          <w:rFonts w:hAnsi="宋体"/>
          <w:b/>
          <w:bCs/>
          <w:kern w:val="2"/>
          <w:szCs w:val="21"/>
          <w:highlight w:val="none"/>
        </w:rPr>
      </w:pPr>
      <w:r>
        <w:rPr>
          <w:rFonts w:hint="eastAsia" w:hAnsi="宋体"/>
          <w:b/>
          <w:bCs/>
          <w:kern w:val="2"/>
          <w:szCs w:val="21"/>
          <w:highlight w:val="none"/>
        </w:rPr>
        <w:t xml:space="preserve"> </w:t>
      </w:r>
    </w:p>
    <w:p>
      <w:pPr>
        <w:spacing w:line="360" w:lineRule="auto"/>
        <w:rPr>
          <w:rFonts w:hAnsi="宋体"/>
          <w:spacing w:val="6"/>
          <w:szCs w:val="21"/>
          <w:highlight w:val="none"/>
        </w:rPr>
      </w:pPr>
      <w:r>
        <w:rPr>
          <w:rFonts w:hint="eastAsia" w:hAnsi="宋体"/>
          <w:b/>
          <w:bCs/>
          <w:kern w:val="2"/>
          <w:szCs w:val="21"/>
          <w:highlight w:val="none"/>
        </w:rPr>
        <w:t xml:space="preserve">   </w:t>
      </w:r>
      <w:r>
        <w:rPr>
          <w:rFonts w:hint="eastAsia" w:hAnsi="宋体"/>
          <w:spacing w:val="6"/>
          <w:szCs w:val="21"/>
          <w:highlight w:val="none"/>
        </w:rPr>
        <w:t>本单位郑重声明，</w:t>
      </w:r>
      <w:r>
        <w:rPr>
          <w:rFonts w:hint="eastAsia" w:hAnsi="宋体"/>
          <w:szCs w:val="21"/>
          <w:highlight w:val="none"/>
        </w:rPr>
        <w:t>根据《财政部 发展改革委 生态环境部 市场监管总局关于调整优化节能产品 环境标志产品政府采购执行机制的通知》（财库〔2019〕9号），《关于印发节能产品政府采购品目清单的通知》（财库〔2019〕19号）及《关于印发环境标志产品政府采购品目清单的通知》（财库〔2019〕18号）的规定</w:t>
      </w:r>
      <w:r>
        <w:rPr>
          <w:rFonts w:hint="eastAsia" w:hAnsi="宋体"/>
          <w:spacing w:val="6"/>
          <w:szCs w:val="21"/>
          <w:highlight w:val="none"/>
        </w:rPr>
        <w:t>，本单位所投下列产品为“</w:t>
      </w:r>
      <w:r>
        <w:rPr>
          <w:rFonts w:hint="eastAsia" w:hAnsi="宋体"/>
          <w:szCs w:val="21"/>
          <w:highlight w:val="none"/>
        </w:rPr>
        <w:t>节能产品政府采购品目清单</w:t>
      </w:r>
      <w:r>
        <w:rPr>
          <w:rFonts w:hint="eastAsia" w:hAnsi="宋体"/>
          <w:spacing w:val="6"/>
          <w:szCs w:val="21"/>
          <w:highlight w:val="none"/>
        </w:rPr>
        <w:t>”或“</w:t>
      </w:r>
      <w:r>
        <w:rPr>
          <w:rFonts w:hint="eastAsia" w:hAnsi="宋体"/>
          <w:szCs w:val="21"/>
          <w:highlight w:val="none"/>
        </w:rPr>
        <w:t>环境标志产品政府采购品目清单</w:t>
      </w:r>
      <w:r>
        <w:rPr>
          <w:rFonts w:hint="eastAsia" w:hAnsi="宋体"/>
          <w:spacing w:val="6"/>
          <w:szCs w:val="21"/>
          <w:highlight w:val="none"/>
        </w:rPr>
        <w:t>”中的“非政府强制性采购产品”。</w:t>
      </w:r>
    </w:p>
    <w:p>
      <w:pPr>
        <w:wordWrap w:val="0"/>
        <w:spacing w:line="360" w:lineRule="auto"/>
        <w:ind w:firstLine="422" w:firstLineChars="200"/>
        <w:rPr>
          <w:rFonts w:hAnsi="宋体"/>
          <w:b/>
          <w:bCs/>
          <w:szCs w:val="21"/>
          <w:highlight w:val="none"/>
        </w:rPr>
      </w:pPr>
      <w:r>
        <w:rPr>
          <w:rFonts w:hint="eastAsia" w:hAnsi="宋体"/>
          <w:b/>
          <w:bCs/>
          <w:szCs w:val="21"/>
          <w:highlight w:val="none"/>
        </w:rPr>
        <w:t>本单位对上述声明的真实性负责。如有虚假，将依法承担相应责任。</w:t>
      </w:r>
    </w:p>
    <w:p>
      <w:pPr>
        <w:spacing w:line="588" w:lineRule="exact"/>
        <w:ind w:right="1560" w:firstLine="444" w:firstLineChars="200"/>
        <w:jc w:val="center"/>
        <w:rPr>
          <w:rFonts w:hAnsi="宋体"/>
          <w:spacing w:val="6"/>
          <w:szCs w:val="21"/>
          <w:highlight w:val="none"/>
        </w:rPr>
      </w:pPr>
      <w:r>
        <w:rPr>
          <w:rFonts w:hint="eastAsia" w:hAnsi="宋体"/>
          <w:spacing w:val="6"/>
          <w:szCs w:val="21"/>
          <w:highlight w:val="none"/>
        </w:rPr>
        <w:t xml:space="preserve">                           </w:t>
      </w:r>
      <w:bookmarkStart w:id="171" w:name="_Toc20014_WPSOffice_Level2"/>
      <w:bookmarkEnd w:id="171"/>
      <w:bookmarkStart w:id="172" w:name="_Toc9334_WPSOffice_Level2"/>
      <w:bookmarkEnd w:id="172"/>
      <w:bookmarkStart w:id="173" w:name="_Toc8355_WPSOffice_Level2"/>
      <w:r>
        <w:rPr>
          <w:rFonts w:hint="eastAsia" w:hAnsi="宋体"/>
          <w:spacing w:val="6"/>
          <w:szCs w:val="21"/>
          <w:highlight w:val="none"/>
        </w:rPr>
        <w:t>单位名称（盖章）：</w:t>
      </w:r>
      <w:bookmarkEnd w:id="173"/>
    </w:p>
    <w:p>
      <w:pPr>
        <w:spacing w:line="588" w:lineRule="exact"/>
        <w:ind w:right="1560" w:firstLine="444" w:firstLineChars="200"/>
        <w:jc w:val="center"/>
        <w:rPr>
          <w:rFonts w:hAnsi="宋体"/>
          <w:spacing w:val="6"/>
          <w:szCs w:val="21"/>
          <w:highlight w:val="none"/>
        </w:rPr>
      </w:pPr>
      <w:r>
        <w:rPr>
          <w:rFonts w:hint="eastAsia" w:hAnsi="宋体"/>
          <w:spacing w:val="6"/>
          <w:szCs w:val="21"/>
          <w:highlight w:val="none"/>
        </w:rPr>
        <w:t xml:space="preserve">                  </w:t>
      </w:r>
      <w:bookmarkStart w:id="174" w:name="_Toc17289_WPSOffice_Level2"/>
      <w:bookmarkEnd w:id="174"/>
      <w:bookmarkStart w:id="175" w:name="_Toc10940_WPSOffice_Level2"/>
      <w:bookmarkEnd w:id="175"/>
      <w:bookmarkStart w:id="176" w:name="_Toc21011_WPSOffice_Level2"/>
      <w:r>
        <w:rPr>
          <w:rFonts w:hint="eastAsia" w:hAnsi="宋体"/>
          <w:spacing w:val="6"/>
          <w:szCs w:val="21"/>
          <w:highlight w:val="none"/>
        </w:rPr>
        <w:t>日  期：</w:t>
      </w:r>
      <w:bookmarkEnd w:id="176"/>
    </w:p>
    <w:tbl>
      <w:tblPr>
        <w:tblStyle w:val="41"/>
        <w:tblW w:w="10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766"/>
        <w:gridCol w:w="1221"/>
        <w:gridCol w:w="1222"/>
        <w:gridCol w:w="856"/>
        <w:gridCol w:w="1010"/>
        <w:gridCol w:w="1248"/>
        <w:gridCol w:w="2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578" w:type="dxa"/>
            <w:tcBorders>
              <w:top w:val="single" w:color="auto" w:sz="4" w:space="0"/>
              <w:left w:val="single" w:color="auto" w:sz="4" w:space="0"/>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序号</w:t>
            </w:r>
          </w:p>
        </w:tc>
        <w:tc>
          <w:tcPr>
            <w:tcW w:w="4209" w:type="dxa"/>
            <w:gridSpan w:val="3"/>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名称</w:t>
            </w:r>
          </w:p>
        </w:tc>
        <w:tc>
          <w:tcPr>
            <w:tcW w:w="856"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数量</w:t>
            </w:r>
          </w:p>
        </w:tc>
        <w:tc>
          <w:tcPr>
            <w:tcW w:w="1010"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单价</w:t>
            </w:r>
          </w:p>
        </w:tc>
        <w:tc>
          <w:tcPr>
            <w:tcW w:w="1248"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小计（元）</w:t>
            </w:r>
          </w:p>
        </w:tc>
        <w:tc>
          <w:tcPr>
            <w:tcW w:w="2195"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节能或环保认证证书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r>
              <w:rPr>
                <w:rFonts w:hint="eastAsia" w:hAnsi="宋体"/>
                <w:highlight w:val="none"/>
              </w:rPr>
              <w:t>见响应文件第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344" w:type="dxa"/>
            <w:gridSpan w:val="2"/>
            <w:tcBorders>
              <w:top w:val="single" w:color="auto" w:sz="4" w:space="0"/>
              <w:left w:val="single" w:color="auto" w:sz="4" w:space="0"/>
              <w:bottom w:val="single" w:color="auto" w:sz="4" w:space="0"/>
              <w:right w:val="single" w:color="auto" w:sz="4" w:space="0"/>
            </w:tcBorders>
          </w:tcPr>
          <w:p>
            <w:pPr>
              <w:pStyle w:val="23"/>
              <w:wordWrap w:val="0"/>
              <w:spacing w:line="480" w:lineRule="exact"/>
              <w:jc w:val="center"/>
              <w:rPr>
                <w:rFonts w:hAnsi="宋体"/>
                <w:highlight w:val="none"/>
              </w:rPr>
            </w:pPr>
            <w:r>
              <w:rPr>
                <w:rFonts w:hint="eastAsia" w:hAnsi="宋体"/>
                <w:highlight w:val="none"/>
              </w:rPr>
              <w:t>合      计</w:t>
            </w:r>
          </w:p>
        </w:tc>
        <w:tc>
          <w:tcPr>
            <w:tcW w:w="5557" w:type="dxa"/>
            <w:gridSpan w:val="5"/>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r>
              <w:rPr>
                <w:rFonts w:hint="eastAsia" w:hAnsi="宋体"/>
                <w:highlight w:val="none"/>
              </w:rPr>
              <w:t xml:space="preserve">      元</w:t>
            </w: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bl>
    <w:p>
      <w:pPr>
        <w:rPr>
          <w:rFonts w:hAnsi="宋体"/>
          <w:szCs w:val="21"/>
          <w:highlight w:val="none"/>
        </w:rPr>
      </w:pPr>
      <w:r>
        <w:rPr>
          <w:rFonts w:hint="eastAsia" w:hAnsi="宋体"/>
          <w:szCs w:val="21"/>
          <w:highlight w:val="none"/>
        </w:rPr>
        <w:t xml:space="preserve"> </w:t>
      </w:r>
    </w:p>
    <w:p>
      <w:pPr>
        <w:rPr>
          <w:rFonts w:hint="eastAsia" w:hAnsi="宋体" w:eastAsia="宋体"/>
          <w:szCs w:val="21"/>
          <w:highlight w:val="none"/>
          <w:lang w:eastAsia="zh-CN"/>
        </w:rPr>
      </w:pPr>
      <w:r>
        <w:rPr>
          <w:rFonts w:hint="eastAsia" w:hAnsi="宋体"/>
          <w:szCs w:val="21"/>
          <w:highlight w:val="none"/>
        </w:rPr>
        <w:t>注：1、供应商按照《节能产品政府采购品目清单》、《环境标志产品政府采购品目清单》中的名称（三级目录名称）自行填写上表，以便进行价格评审。</w:t>
      </w:r>
    </w:p>
    <w:p>
      <w:pPr>
        <w:rPr>
          <w:rFonts w:hAnsi="宋体"/>
          <w:szCs w:val="21"/>
          <w:highlight w:val="none"/>
        </w:rPr>
      </w:pPr>
      <w:r>
        <w:rPr>
          <w:rFonts w:hint="eastAsia" w:hAnsi="宋体"/>
          <w:szCs w:val="21"/>
          <w:highlight w:val="none"/>
        </w:rPr>
        <w:t>2、供应商自行登录中国政府采购网（</w:t>
      </w:r>
      <w:r>
        <w:rPr>
          <w:rFonts w:hAnsi="宋体"/>
          <w:szCs w:val="21"/>
          <w:highlight w:val="none"/>
        </w:rPr>
        <w:drawing>
          <wp:inline distT="0" distB="0" distL="114300" distR="114300">
            <wp:extent cx="189230" cy="142875"/>
            <wp:effectExtent l="0" t="0" r="13970" b="9525"/>
            <wp:docPr id="4" name="图片 2"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wps1"/>
                    <pic:cNvPicPr>
                      <a:picLocks noChangeAspect="1"/>
                    </pic:cNvPicPr>
                  </pic:nvPicPr>
                  <pic:blipFill>
                    <a:blip r:embed="rId12"/>
                    <a:stretch>
                      <a:fillRect/>
                    </a:stretch>
                  </pic:blipFill>
                  <pic:spPr>
                    <a:xfrm>
                      <a:off x="0" y="0"/>
                      <a:ext cx="189230" cy="142875"/>
                    </a:xfrm>
                    <a:prstGeom prst="rect">
                      <a:avLst/>
                    </a:prstGeom>
                    <a:noFill/>
                    <a:ln w="9525">
                      <a:noFill/>
                    </a:ln>
                  </pic:spPr>
                </pic:pic>
              </a:graphicData>
            </a:graphic>
          </wp:inline>
        </w:drawing>
      </w:r>
      <w:r>
        <w:rPr>
          <w:rFonts w:hint="eastAsia" w:hAnsi="宋体"/>
          <w:szCs w:val="21"/>
          <w:highlight w:val="none"/>
        </w:rPr>
        <w:t>www.ccgp.gov.cn）查询“产品政府采购品目清单”。</w:t>
      </w:r>
    </w:p>
    <w:p>
      <w:pPr>
        <w:rPr>
          <w:rFonts w:hAnsi="宋体"/>
          <w:szCs w:val="21"/>
          <w:highlight w:val="none"/>
        </w:rPr>
      </w:pPr>
      <w:r>
        <w:rPr>
          <w:rFonts w:hint="eastAsia" w:hAnsi="宋体"/>
          <w:szCs w:val="21"/>
          <w:highlight w:val="none"/>
        </w:rPr>
        <w:t>3、本表如不适用的，可不填写。</w:t>
      </w:r>
    </w:p>
    <w:p>
      <w:pPr>
        <w:pStyle w:val="4"/>
        <w:rPr>
          <w:color w:val="auto"/>
          <w:highlight w:val="none"/>
        </w:rPr>
      </w:pPr>
    </w:p>
    <w:p>
      <w:pPr>
        <w:pStyle w:val="4"/>
        <w:jc w:val="both"/>
        <w:rPr>
          <w:color w:val="auto"/>
          <w:highlight w:val="none"/>
        </w:rPr>
      </w:pPr>
    </w:p>
    <w:p>
      <w:pPr>
        <w:pStyle w:val="5"/>
        <w:rPr>
          <w:highlight w:val="none"/>
        </w:rPr>
      </w:pPr>
    </w:p>
    <w:p>
      <w:pPr>
        <w:pStyle w:val="5"/>
        <w:rPr>
          <w:highlight w:val="none"/>
        </w:rPr>
      </w:pPr>
    </w:p>
    <w:p>
      <w:pPr>
        <w:pStyle w:val="5"/>
        <w:rPr>
          <w:highlight w:val="none"/>
        </w:rPr>
      </w:pPr>
    </w:p>
    <w:p>
      <w:pPr>
        <w:pStyle w:val="4"/>
        <w:rPr>
          <w:color w:val="auto"/>
          <w:highlight w:val="none"/>
        </w:rPr>
      </w:pPr>
      <w:bookmarkStart w:id="177" w:name="_Toc20987"/>
      <w:r>
        <w:rPr>
          <w:rFonts w:hint="eastAsia"/>
          <w:color w:val="auto"/>
          <w:highlight w:val="none"/>
        </w:rPr>
        <w:t>表5-7  报价一览表</w:t>
      </w:r>
      <w:bookmarkEnd w:id="154"/>
      <w:bookmarkEnd w:id="155"/>
      <w:bookmarkEnd w:id="156"/>
      <w:bookmarkEnd w:id="157"/>
      <w:bookmarkEnd w:id="158"/>
      <w:bookmarkEnd w:id="177"/>
    </w:p>
    <w:p>
      <w:pPr>
        <w:pStyle w:val="5"/>
        <w:rPr>
          <w:highlight w:val="none"/>
        </w:rPr>
      </w:pPr>
    </w:p>
    <w:p>
      <w:pPr>
        <w:spacing w:before="120" w:beforeLines="50" w:after="120" w:afterLines="50" w:line="360" w:lineRule="exact"/>
        <w:rPr>
          <w:rFonts w:ascii="宋体" w:hAnsi="宋体" w:cs="Arial"/>
          <w:szCs w:val="21"/>
          <w:highlight w:val="none"/>
        </w:rPr>
      </w:pPr>
      <w:r>
        <w:rPr>
          <w:rFonts w:hint="eastAsia" w:ascii="宋体" w:hAnsi="宋体" w:cs="Arial"/>
          <w:szCs w:val="21"/>
          <w:highlight w:val="none"/>
        </w:rPr>
        <w:t xml:space="preserve">项目编号：  </w:t>
      </w:r>
      <w:r>
        <w:rPr>
          <w:rFonts w:ascii="宋体" w:hAnsi="宋体" w:cs="Arial"/>
          <w:szCs w:val="21"/>
          <w:highlight w:val="none"/>
        </w:rPr>
        <w:t xml:space="preserve">  </w:t>
      </w:r>
      <w:r>
        <w:rPr>
          <w:rFonts w:hint="eastAsia" w:ascii="宋体" w:hAnsi="宋体" w:cs="Arial"/>
          <w:szCs w:val="21"/>
          <w:highlight w:val="none"/>
        </w:rPr>
        <w:t xml:space="preserve">                          </w:t>
      </w:r>
      <w:r>
        <w:rPr>
          <w:rFonts w:ascii="宋体" w:hAnsi="宋体" w:cs="Arial"/>
          <w:szCs w:val="21"/>
          <w:highlight w:val="none"/>
        </w:rPr>
        <w:t xml:space="preserve"> </w:t>
      </w:r>
      <w:r>
        <w:rPr>
          <w:rFonts w:hint="eastAsia" w:ascii="宋体" w:hAnsi="宋体" w:cs="Arial"/>
          <w:szCs w:val="21"/>
          <w:highlight w:val="none"/>
        </w:rPr>
        <w:t xml:space="preserve">             金额单位：元（人民币）</w:t>
      </w:r>
    </w:p>
    <w:tbl>
      <w:tblPr>
        <w:tblStyle w:val="41"/>
        <w:tblW w:w="9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260"/>
        <w:gridCol w:w="5300"/>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008" w:type="dxa"/>
            <w:tcBorders>
              <w:top w:val="single" w:color="auto" w:sz="4" w:space="0"/>
              <w:left w:val="single" w:color="auto" w:sz="4" w:space="0"/>
              <w:bottom w:val="single" w:color="auto" w:sz="4" w:space="0"/>
            </w:tcBorders>
            <w:shd w:val="clear" w:color="auto" w:fill="EEECE1" w:themeFill="background2"/>
            <w:vAlign w:val="center"/>
          </w:tcPr>
          <w:p>
            <w:pPr>
              <w:jc w:val="center"/>
              <w:rPr>
                <w:b/>
                <w:bCs/>
                <w:szCs w:val="21"/>
                <w:highlight w:val="none"/>
              </w:rPr>
            </w:pPr>
            <w:r>
              <w:rPr>
                <w:b/>
                <w:highlight w:val="none"/>
              </w:rPr>
              <w:t>序号</w:t>
            </w:r>
          </w:p>
        </w:tc>
        <w:tc>
          <w:tcPr>
            <w:tcW w:w="2260" w:type="dxa"/>
            <w:tcBorders>
              <w:top w:val="single" w:color="auto" w:sz="4" w:space="0"/>
              <w:bottom w:val="single" w:color="auto" w:sz="4" w:space="0"/>
            </w:tcBorders>
            <w:shd w:val="clear" w:color="auto" w:fill="EEECE1" w:themeFill="background2"/>
            <w:vAlign w:val="center"/>
          </w:tcPr>
          <w:p>
            <w:pPr>
              <w:jc w:val="center"/>
              <w:rPr>
                <w:b/>
                <w:bCs/>
                <w:szCs w:val="21"/>
                <w:highlight w:val="none"/>
              </w:rPr>
            </w:pPr>
            <w:r>
              <w:rPr>
                <w:rFonts w:hint="eastAsia"/>
                <w:b/>
                <w:bCs/>
                <w:szCs w:val="21"/>
                <w:highlight w:val="none"/>
              </w:rPr>
              <w:t>分项</w:t>
            </w:r>
            <w:r>
              <w:rPr>
                <w:b/>
                <w:highlight w:val="none"/>
              </w:rPr>
              <w:t>名称</w:t>
            </w:r>
          </w:p>
        </w:tc>
        <w:tc>
          <w:tcPr>
            <w:tcW w:w="5300" w:type="dxa"/>
            <w:tcBorders>
              <w:top w:val="single" w:color="auto" w:sz="4" w:space="0"/>
              <w:bottom w:val="single" w:color="auto" w:sz="4" w:space="0"/>
            </w:tcBorders>
            <w:shd w:val="clear" w:color="auto" w:fill="EEECE1" w:themeFill="background2"/>
            <w:vAlign w:val="center"/>
          </w:tcPr>
          <w:p>
            <w:pPr>
              <w:jc w:val="center"/>
              <w:rPr>
                <w:b/>
                <w:bCs/>
                <w:szCs w:val="21"/>
                <w:highlight w:val="none"/>
              </w:rPr>
            </w:pPr>
            <w:r>
              <w:rPr>
                <w:rFonts w:hint="eastAsia"/>
                <w:b/>
                <w:bCs/>
                <w:szCs w:val="21"/>
                <w:highlight w:val="none"/>
              </w:rPr>
              <w:t>金额(元)</w:t>
            </w:r>
          </w:p>
        </w:tc>
        <w:tc>
          <w:tcPr>
            <w:tcW w:w="1291" w:type="dxa"/>
            <w:tcBorders>
              <w:top w:val="single" w:color="auto" w:sz="4" w:space="0"/>
              <w:bottom w:val="single" w:color="auto" w:sz="4" w:space="0"/>
              <w:right w:val="single" w:color="auto" w:sz="4" w:space="0"/>
            </w:tcBorders>
            <w:shd w:val="clear" w:color="auto" w:fill="EEECE1" w:themeFill="background2"/>
            <w:vAlign w:val="center"/>
          </w:tcPr>
          <w:p>
            <w:pPr>
              <w:jc w:val="center"/>
              <w:rPr>
                <w:b/>
                <w:bCs/>
                <w:szCs w:val="21"/>
                <w:highlight w:val="none"/>
              </w:rPr>
            </w:pPr>
            <w:r>
              <w:rPr>
                <w:rFonts w:hint="eastAsia" w:ascii="宋体" w:hAnsi="宋体"/>
                <w:b/>
                <w:bCs/>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1008" w:type="dxa"/>
            <w:tcBorders>
              <w:top w:val="single" w:color="auto" w:sz="4" w:space="0"/>
            </w:tcBorders>
            <w:vAlign w:val="center"/>
          </w:tcPr>
          <w:p>
            <w:pPr>
              <w:autoSpaceDE w:val="0"/>
              <w:autoSpaceDN w:val="0"/>
              <w:adjustRightInd w:val="0"/>
              <w:spacing w:line="480" w:lineRule="exact"/>
              <w:jc w:val="center"/>
              <w:rPr>
                <w:szCs w:val="21"/>
                <w:highlight w:val="none"/>
              </w:rPr>
            </w:pPr>
            <w:r>
              <w:rPr>
                <w:rFonts w:hint="eastAsia"/>
                <w:szCs w:val="21"/>
                <w:highlight w:val="none"/>
              </w:rPr>
              <w:t>1</w:t>
            </w:r>
          </w:p>
        </w:tc>
        <w:tc>
          <w:tcPr>
            <w:tcW w:w="2260" w:type="dxa"/>
            <w:tcBorders>
              <w:top w:val="single" w:color="auto" w:sz="4" w:space="0"/>
            </w:tcBorders>
            <w:vAlign w:val="center"/>
          </w:tcPr>
          <w:p>
            <w:pPr>
              <w:tabs>
                <w:tab w:val="left" w:pos="620"/>
              </w:tabs>
              <w:ind w:leftChars="-1" w:hanging="2" w:hangingChars="1"/>
              <w:rPr>
                <w:rFonts w:ascii="宋体" w:hAnsi="宋体"/>
                <w:highlight w:val="none"/>
              </w:rPr>
            </w:pPr>
          </w:p>
        </w:tc>
        <w:tc>
          <w:tcPr>
            <w:tcW w:w="5300" w:type="dxa"/>
            <w:tcBorders>
              <w:top w:val="single" w:color="auto" w:sz="4" w:space="0"/>
            </w:tcBorders>
            <w:vAlign w:val="center"/>
          </w:tcPr>
          <w:p>
            <w:pPr>
              <w:rPr>
                <w:bCs/>
                <w:szCs w:val="21"/>
                <w:highlight w:val="none"/>
              </w:rPr>
            </w:pPr>
          </w:p>
        </w:tc>
        <w:tc>
          <w:tcPr>
            <w:tcW w:w="1291" w:type="dxa"/>
            <w:tcBorders>
              <w:top w:val="single" w:color="auto" w:sz="4" w:space="0"/>
            </w:tcBorders>
            <w:vAlign w:val="center"/>
          </w:tcPr>
          <w:p>
            <w:pPr>
              <w:pStyle w:val="88"/>
              <w:widowControl w:val="0"/>
              <w:spacing w:after="0"/>
              <w:rPr>
                <w:rFonts w:ascii="Times New Roman" w:hAnsi="Times New Roman"/>
                <w:bCs/>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008" w:type="dxa"/>
            <w:vAlign w:val="center"/>
          </w:tcPr>
          <w:p>
            <w:pPr>
              <w:autoSpaceDE w:val="0"/>
              <w:autoSpaceDN w:val="0"/>
              <w:adjustRightInd w:val="0"/>
              <w:spacing w:line="480" w:lineRule="exact"/>
              <w:jc w:val="center"/>
              <w:rPr>
                <w:szCs w:val="21"/>
                <w:highlight w:val="none"/>
              </w:rPr>
            </w:pPr>
            <w:r>
              <w:rPr>
                <w:rFonts w:hint="eastAsia"/>
                <w:szCs w:val="21"/>
                <w:highlight w:val="none"/>
              </w:rPr>
              <w:t>2</w:t>
            </w:r>
          </w:p>
        </w:tc>
        <w:tc>
          <w:tcPr>
            <w:tcW w:w="2260" w:type="dxa"/>
            <w:vAlign w:val="center"/>
          </w:tcPr>
          <w:p>
            <w:pPr>
              <w:tabs>
                <w:tab w:val="left" w:pos="620"/>
              </w:tabs>
              <w:autoSpaceDE w:val="0"/>
              <w:autoSpaceDN w:val="0"/>
              <w:adjustRightInd w:val="0"/>
              <w:ind w:leftChars="-1" w:hanging="2" w:hangingChars="1"/>
              <w:rPr>
                <w:szCs w:val="21"/>
                <w:highlight w:val="none"/>
              </w:rPr>
            </w:pPr>
          </w:p>
        </w:tc>
        <w:tc>
          <w:tcPr>
            <w:tcW w:w="5300" w:type="dxa"/>
            <w:vAlign w:val="center"/>
          </w:tcPr>
          <w:p>
            <w:pPr>
              <w:rPr>
                <w:bCs/>
                <w:szCs w:val="21"/>
                <w:highlight w:val="none"/>
              </w:rPr>
            </w:pPr>
          </w:p>
        </w:tc>
        <w:tc>
          <w:tcPr>
            <w:tcW w:w="1291" w:type="dxa"/>
            <w:vAlign w:val="center"/>
          </w:tcPr>
          <w:p>
            <w:pPr>
              <w:pStyle w:val="88"/>
              <w:widowControl w:val="0"/>
              <w:spacing w:after="0"/>
              <w:rPr>
                <w:rFonts w:ascii="Times New Roman" w:hAnsi="Times New Roman"/>
                <w:bCs/>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1008" w:type="dxa"/>
            <w:vAlign w:val="center"/>
          </w:tcPr>
          <w:p>
            <w:pPr>
              <w:autoSpaceDE w:val="0"/>
              <w:autoSpaceDN w:val="0"/>
              <w:adjustRightInd w:val="0"/>
              <w:spacing w:line="480" w:lineRule="exact"/>
              <w:jc w:val="center"/>
              <w:rPr>
                <w:szCs w:val="21"/>
                <w:highlight w:val="none"/>
              </w:rPr>
            </w:pPr>
            <w:r>
              <w:rPr>
                <w:rFonts w:hint="eastAsia"/>
                <w:szCs w:val="21"/>
                <w:highlight w:val="none"/>
              </w:rPr>
              <w:t>3</w:t>
            </w:r>
          </w:p>
        </w:tc>
        <w:tc>
          <w:tcPr>
            <w:tcW w:w="2260" w:type="dxa"/>
            <w:vAlign w:val="center"/>
          </w:tcPr>
          <w:p>
            <w:pPr>
              <w:tabs>
                <w:tab w:val="left" w:pos="620"/>
              </w:tabs>
              <w:ind w:leftChars="-1" w:hanging="2" w:hangingChars="1"/>
              <w:rPr>
                <w:rFonts w:ascii="宋体" w:hAnsi="宋体"/>
                <w:szCs w:val="21"/>
                <w:highlight w:val="none"/>
              </w:rPr>
            </w:pPr>
          </w:p>
        </w:tc>
        <w:tc>
          <w:tcPr>
            <w:tcW w:w="5300" w:type="dxa"/>
            <w:vAlign w:val="center"/>
          </w:tcPr>
          <w:p>
            <w:pPr>
              <w:jc w:val="center"/>
              <w:rPr>
                <w:bCs/>
                <w:szCs w:val="21"/>
                <w:highlight w:val="none"/>
                <w:u w:val="single"/>
              </w:rPr>
            </w:pPr>
          </w:p>
        </w:tc>
        <w:tc>
          <w:tcPr>
            <w:tcW w:w="1291" w:type="dxa"/>
            <w:vAlign w:val="center"/>
          </w:tcPr>
          <w:p>
            <w:pPr>
              <w:jc w:val="center"/>
              <w:rPr>
                <w:bCs/>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008" w:type="dxa"/>
            <w:vAlign w:val="center"/>
          </w:tcPr>
          <w:p>
            <w:pPr>
              <w:autoSpaceDE w:val="0"/>
              <w:autoSpaceDN w:val="0"/>
              <w:adjustRightInd w:val="0"/>
              <w:spacing w:line="480" w:lineRule="exact"/>
              <w:jc w:val="center"/>
              <w:rPr>
                <w:szCs w:val="21"/>
                <w:highlight w:val="none"/>
              </w:rPr>
            </w:pPr>
            <w:r>
              <w:rPr>
                <w:rFonts w:hint="eastAsia"/>
                <w:szCs w:val="21"/>
                <w:highlight w:val="none"/>
              </w:rPr>
              <w:t>4</w:t>
            </w:r>
          </w:p>
        </w:tc>
        <w:tc>
          <w:tcPr>
            <w:tcW w:w="2260" w:type="dxa"/>
            <w:vAlign w:val="center"/>
          </w:tcPr>
          <w:p>
            <w:pPr>
              <w:tabs>
                <w:tab w:val="left" w:pos="620"/>
              </w:tabs>
              <w:ind w:leftChars="-1" w:hanging="2" w:hangingChars="1"/>
              <w:rPr>
                <w:rFonts w:ascii="宋体" w:hAnsi="宋体"/>
                <w:highlight w:val="none"/>
              </w:rPr>
            </w:pPr>
          </w:p>
        </w:tc>
        <w:tc>
          <w:tcPr>
            <w:tcW w:w="5300" w:type="dxa"/>
            <w:vAlign w:val="center"/>
          </w:tcPr>
          <w:p>
            <w:pPr>
              <w:jc w:val="center"/>
              <w:rPr>
                <w:bCs/>
                <w:szCs w:val="21"/>
                <w:highlight w:val="none"/>
                <w:u w:val="single"/>
              </w:rPr>
            </w:pPr>
          </w:p>
        </w:tc>
        <w:tc>
          <w:tcPr>
            <w:tcW w:w="1291" w:type="dxa"/>
            <w:vAlign w:val="center"/>
          </w:tcPr>
          <w:p>
            <w:pPr>
              <w:jc w:val="center"/>
              <w:rPr>
                <w:bCs/>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3268" w:type="dxa"/>
            <w:gridSpan w:val="2"/>
            <w:tcBorders>
              <w:bottom w:val="single" w:color="auto" w:sz="2" w:space="0"/>
            </w:tcBorders>
            <w:vAlign w:val="center"/>
          </w:tcPr>
          <w:p>
            <w:pPr>
              <w:pStyle w:val="73"/>
              <w:widowControl w:val="0"/>
              <w:pBdr>
                <w:bottom w:val="none" w:color="auto" w:sz="0" w:space="0"/>
                <w:right w:val="none" w:color="auto" w:sz="0" w:space="0"/>
              </w:pBdr>
              <w:spacing w:before="0" w:beforeAutospacing="0" w:after="0" w:afterAutospacing="0" w:line="360" w:lineRule="auto"/>
              <w:rPr>
                <w:rFonts w:hint="default" w:ascii="Times New Roman" w:hAnsi="Times New Roman"/>
                <w:bCs/>
                <w:szCs w:val="21"/>
                <w:highlight w:val="none"/>
              </w:rPr>
            </w:pPr>
            <w:r>
              <w:rPr>
                <w:rFonts w:ascii="Times New Roman" w:hAnsi="Times New Roman"/>
                <w:bCs/>
                <w:szCs w:val="21"/>
                <w:highlight w:val="none"/>
              </w:rPr>
              <w:t>总报价</w:t>
            </w:r>
            <w:r>
              <w:rPr>
                <w:highlight w:val="none"/>
              </w:rPr>
              <w:t>（含税）：</w:t>
            </w:r>
          </w:p>
        </w:tc>
        <w:tc>
          <w:tcPr>
            <w:tcW w:w="6591" w:type="dxa"/>
            <w:gridSpan w:val="2"/>
            <w:tcBorders>
              <w:bottom w:val="single" w:color="auto" w:sz="2" w:space="0"/>
            </w:tcBorders>
            <w:vAlign w:val="center"/>
          </w:tcPr>
          <w:p>
            <w:pPr>
              <w:rPr>
                <w:bCs/>
                <w:szCs w:val="21"/>
                <w:highlight w:val="none"/>
              </w:rPr>
            </w:pPr>
            <w:r>
              <w:rPr>
                <w:rFonts w:hint="eastAsia"/>
                <w:bCs/>
                <w:szCs w:val="21"/>
                <w:highlight w:val="none"/>
              </w:rPr>
              <w:t>大写</w:t>
            </w:r>
            <w:r>
              <w:rPr>
                <w:rFonts w:hint="eastAsia"/>
                <w:bCs/>
                <w:szCs w:val="21"/>
                <w:highlight w:val="none"/>
                <w:lang w:eastAsia="zh-CN"/>
              </w:rPr>
              <w:t>：</w:t>
            </w:r>
            <w:r>
              <w:rPr>
                <w:rFonts w:hint="eastAsia"/>
                <w:bCs/>
                <w:szCs w:val="21"/>
                <w:highlight w:val="none"/>
              </w:rPr>
              <w:t xml:space="preserve">人民币                      </w:t>
            </w:r>
            <w:r>
              <w:rPr>
                <w:rFonts w:hint="eastAsia"/>
                <w:bCs/>
                <w:szCs w:val="21"/>
                <w:highlight w:val="none"/>
                <w:lang w:val="en-US" w:eastAsia="zh-CN"/>
              </w:rPr>
              <w:t xml:space="preserve">          </w:t>
            </w:r>
            <w:r>
              <w:rPr>
                <w:rFonts w:hint="eastAsia"/>
                <w:bCs/>
                <w:szCs w:val="21"/>
                <w:highlight w:val="none"/>
              </w:rPr>
              <w:t>（</w:t>
            </w:r>
            <w:r>
              <w:rPr>
                <w:rFonts w:hint="eastAsia"/>
                <w:bCs/>
                <w:szCs w:val="21"/>
                <w:highlight w:val="none"/>
                <w:lang w:val="en-US" w:eastAsia="zh-CN"/>
              </w:rPr>
              <w:t>小写：</w:t>
            </w:r>
            <w:r>
              <w:rPr>
                <w:rFonts w:hint="eastAsia"/>
                <w:bCs/>
                <w:szCs w:val="21"/>
                <w:highlight w:val="none"/>
              </w:rPr>
              <w:t xml:space="preserve">￥ </w:t>
            </w:r>
            <w:r>
              <w:rPr>
                <w:rFonts w:hint="eastAsia"/>
                <w:bCs/>
                <w:szCs w:val="21"/>
                <w:highlight w:val="none"/>
                <w:lang w:val="en-US" w:eastAsia="zh-CN"/>
              </w:rPr>
              <w:t xml:space="preserve">      </w:t>
            </w:r>
            <w:r>
              <w:rPr>
                <w:rFonts w:hint="eastAsia"/>
                <w:bCs/>
                <w:szCs w:val="21"/>
                <w:highlight w:val="none"/>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3268" w:type="dxa"/>
            <w:gridSpan w:val="2"/>
            <w:tcBorders>
              <w:bottom w:val="single" w:color="auto" w:sz="2" w:space="0"/>
            </w:tcBorders>
            <w:vAlign w:val="center"/>
          </w:tcPr>
          <w:p>
            <w:pPr>
              <w:pStyle w:val="73"/>
              <w:widowControl w:val="0"/>
              <w:pBdr>
                <w:bottom w:val="none" w:color="auto" w:sz="0" w:space="0"/>
                <w:right w:val="none" w:color="auto" w:sz="0" w:space="0"/>
              </w:pBdr>
              <w:spacing w:before="0" w:beforeAutospacing="0" w:after="0" w:afterAutospacing="0" w:line="360" w:lineRule="auto"/>
              <w:rPr>
                <w:rFonts w:hint="default" w:ascii="Times New Roman" w:hAnsi="Times New Roman"/>
                <w:bCs/>
                <w:szCs w:val="21"/>
                <w:highlight w:val="none"/>
              </w:rPr>
            </w:pPr>
            <w:r>
              <w:rPr>
                <w:kern w:val="28"/>
                <w:highlight w:val="none"/>
              </w:rPr>
              <w:t>其中绿色施工安全防护措施费</w:t>
            </w:r>
            <w:r>
              <w:rPr>
                <w:highlight w:val="none"/>
              </w:rPr>
              <w:t>（不含税）：</w:t>
            </w:r>
          </w:p>
        </w:tc>
        <w:tc>
          <w:tcPr>
            <w:tcW w:w="6591" w:type="dxa"/>
            <w:gridSpan w:val="2"/>
            <w:tcBorders>
              <w:bottom w:val="single" w:color="auto" w:sz="2" w:space="0"/>
            </w:tcBorders>
            <w:vAlign w:val="center"/>
          </w:tcPr>
          <w:p>
            <w:pPr>
              <w:rPr>
                <w:bCs/>
                <w:szCs w:val="21"/>
                <w:highlight w:val="none"/>
              </w:rPr>
            </w:pPr>
            <w:r>
              <w:rPr>
                <w:rFonts w:hint="eastAsia"/>
                <w:bCs/>
                <w:szCs w:val="21"/>
                <w:highlight w:val="none"/>
              </w:rPr>
              <w:t>大写</w:t>
            </w:r>
            <w:r>
              <w:rPr>
                <w:rFonts w:hint="eastAsia"/>
                <w:bCs/>
                <w:szCs w:val="21"/>
                <w:highlight w:val="none"/>
                <w:lang w:eastAsia="zh-CN"/>
              </w:rPr>
              <w:t>：</w:t>
            </w:r>
            <w:r>
              <w:rPr>
                <w:rFonts w:hint="eastAsia"/>
                <w:bCs/>
                <w:szCs w:val="21"/>
                <w:highlight w:val="none"/>
              </w:rPr>
              <w:t xml:space="preserve">人民币                     </w:t>
            </w:r>
            <w:r>
              <w:rPr>
                <w:rFonts w:hint="eastAsia"/>
                <w:bCs/>
                <w:szCs w:val="21"/>
                <w:highlight w:val="none"/>
                <w:lang w:val="en-US" w:eastAsia="zh-CN"/>
              </w:rPr>
              <w:t xml:space="preserve">            </w:t>
            </w:r>
            <w:r>
              <w:rPr>
                <w:rFonts w:hint="eastAsia"/>
                <w:bCs/>
                <w:szCs w:val="21"/>
                <w:highlight w:val="none"/>
              </w:rPr>
              <w:t>（</w:t>
            </w:r>
            <w:r>
              <w:rPr>
                <w:rFonts w:hint="eastAsia"/>
                <w:bCs/>
                <w:szCs w:val="21"/>
                <w:highlight w:val="none"/>
                <w:lang w:val="en-US" w:eastAsia="zh-CN"/>
              </w:rPr>
              <w:t>小写：</w:t>
            </w:r>
            <w:r>
              <w:rPr>
                <w:rFonts w:hint="eastAsia"/>
                <w:bCs/>
                <w:szCs w:val="21"/>
                <w:highlight w:val="none"/>
              </w:rPr>
              <w:t xml:space="preserve">￥ </w:t>
            </w:r>
            <w:r>
              <w:rPr>
                <w:rFonts w:hint="eastAsia"/>
                <w:bCs/>
                <w:szCs w:val="21"/>
                <w:highlight w:val="none"/>
                <w:lang w:val="en-US" w:eastAsia="zh-CN"/>
              </w:rPr>
              <w:t xml:space="preserve">    </w:t>
            </w:r>
            <w:r>
              <w:rPr>
                <w:rFonts w:hint="eastAsia"/>
                <w:bCs/>
                <w:szCs w:val="21"/>
                <w:highlight w:val="none"/>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9859" w:type="dxa"/>
            <w:gridSpan w:val="4"/>
            <w:vAlign w:val="center"/>
          </w:tcPr>
          <w:p>
            <w:pPr>
              <w:jc w:val="center"/>
              <w:rPr>
                <w:b/>
                <w:bCs/>
                <w:szCs w:val="21"/>
                <w:highlight w:val="none"/>
              </w:rPr>
            </w:pPr>
            <w:r>
              <w:rPr>
                <w:rFonts w:hint="eastAsia"/>
                <w:b/>
                <w:szCs w:val="21"/>
                <w:highlight w:val="none"/>
              </w:rPr>
              <w:t>备注：详细内容见《详细报价表》。</w:t>
            </w:r>
          </w:p>
        </w:tc>
      </w:tr>
    </w:tbl>
    <w:p>
      <w:pPr>
        <w:pStyle w:val="23"/>
        <w:snapToGrid w:val="0"/>
        <w:spacing w:line="360" w:lineRule="auto"/>
        <w:ind w:right="120" w:rightChars="57"/>
        <w:jc w:val="left"/>
        <w:rPr>
          <w:rFonts w:hAnsi="宋体"/>
          <w:b/>
          <w:szCs w:val="21"/>
          <w:highlight w:val="none"/>
        </w:rPr>
      </w:pPr>
    </w:p>
    <w:p>
      <w:pPr>
        <w:spacing w:line="360" w:lineRule="auto"/>
        <w:rPr>
          <w:rFonts w:ascii="宋体" w:hAnsi="宋体"/>
          <w:highlight w:val="none"/>
        </w:rPr>
      </w:pPr>
      <w:r>
        <w:rPr>
          <w:rFonts w:hint="eastAsia" w:ascii="宋体" w:hAnsi="宋体"/>
          <w:highlight w:val="none"/>
        </w:rPr>
        <w:t>注</w:t>
      </w:r>
      <w:r>
        <w:rPr>
          <w:rFonts w:ascii="宋体" w:hAnsi="宋体"/>
          <w:highlight w:val="none"/>
        </w:rPr>
        <w:t>：</w:t>
      </w:r>
      <w:r>
        <w:rPr>
          <w:rFonts w:hint="eastAsia" w:ascii="宋体" w:hAnsi="宋体"/>
          <w:szCs w:val="21"/>
          <w:highlight w:val="none"/>
        </w:rPr>
        <w:t>报价精确到小数点后两位。</w:t>
      </w:r>
    </w:p>
    <w:p>
      <w:pPr>
        <w:spacing w:line="360" w:lineRule="auto"/>
        <w:rPr>
          <w:rFonts w:ascii="宋体" w:hAnsi="宋体"/>
          <w:szCs w:val="21"/>
          <w:highlight w:val="none"/>
        </w:rPr>
      </w:pPr>
      <w:r>
        <w:rPr>
          <w:rFonts w:hint="eastAsia" w:ascii="宋体" w:hAnsi="宋体"/>
          <w:szCs w:val="21"/>
          <w:highlight w:val="none"/>
        </w:rPr>
        <w:t>1）本工程采用总价承包。</w:t>
      </w:r>
    </w:p>
    <w:p>
      <w:pPr>
        <w:autoSpaceDE w:val="0"/>
        <w:autoSpaceDN w:val="0"/>
        <w:spacing w:line="360" w:lineRule="auto"/>
        <w:ind w:right="57"/>
        <w:textAlignment w:val="bottom"/>
        <w:rPr>
          <w:rFonts w:ascii="宋体" w:hAnsi="宋体"/>
          <w:szCs w:val="21"/>
          <w:highlight w:val="none"/>
        </w:rPr>
      </w:pPr>
      <w:r>
        <w:rPr>
          <w:rFonts w:hint="eastAsia" w:ascii="宋体" w:hAnsi="宋体"/>
          <w:szCs w:val="21"/>
          <w:highlight w:val="none"/>
        </w:rPr>
        <w:t>2）投标供应商对本项目的各分项报价及合计总价，报价供应商要考虑各种费用及风险，本工程实行工程量清单总承包。</w:t>
      </w: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供应商名称（并加盖公章）：</w:t>
      </w:r>
    </w:p>
    <w:p>
      <w:pPr>
        <w:spacing w:line="360" w:lineRule="auto"/>
        <w:rPr>
          <w:rFonts w:ascii="宋体" w:hAnsi="宋体" w:cs="Arial"/>
          <w:szCs w:val="21"/>
          <w:highlight w:val="none"/>
        </w:rPr>
      </w:pPr>
    </w:p>
    <w:p>
      <w:pPr>
        <w:spacing w:line="360" w:lineRule="auto"/>
        <w:rPr>
          <w:rFonts w:ascii="宋体" w:hAnsi="宋体"/>
          <w:szCs w:val="21"/>
          <w:highlight w:val="none"/>
        </w:rPr>
      </w:pPr>
      <w:r>
        <w:rPr>
          <w:rFonts w:hint="eastAsia" w:ascii="宋体" w:hAnsi="宋体"/>
          <w:szCs w:val="21"/>
          <w:highlight w:val="none"/>
        </w:rPr>
        <w:t>供应商</w:t>
      </w:r>
      <w:r>
        <w:rPr>
          <w:rFonts w:hint="eastAsia" w:ascii="宋体" w:hAnsi="宋体" w:cs="Arial"/>
          <w:szCs w:val="21"/>
          <w:highlight w:val="none"/>
        </w:rPr>
        <w:t>法定代表人或其委托人签字：</w:t>
      </w:r>
      <w:r>
        <w:rPr>
          <w:rFonts w:ascii="宋体" w:hAnsi="宋体"/>
          <w:szCs w:val="21"/>
          <w:highlight w:val="none"/>
        </w:rPr>
        <w:t xml:space="preserve"> _____________</w:t>
      </w: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日  期：</w:t>
      </w:r>
      <w:bookmarkEnd w:id="117"/>
      <w:bookmarkEnd w:id="118"/>
      <w:bookmarkEnd w:id="119"/>
      <w:bookmarkEnd w:id="120"/>
      <w:bookmarkEnd w:id="121"/>
      <w:bookmarkEnd w:id="122"/>
      <w:bookmarkEnd w:id="123"/>
      <w:bookmarkEnd w:id="124"/>
      <w:bookmarkEnd w:id="125"/>
      <w:bookmarkEnd w:id="135"/>
    </w:p>
    <w:p>
      <w:pPr>
        <w:pStyle w:val="4"/>
        <w:rPr>
          <w:color w:val="auto"/>
          <w:highlight w:val="none"/>
        </w:rPr>
      </w:pPr>
      <w:bookmarkStart w:id="178" w:name="_Toc456949305"/>
      <w:bookmarkStart w:id="179" w:name="_Toc420490264"/>
      <w:bookmarkStart w:id="180" w:name="_Toc24216_WPSOffice_Level2"/>
      <w:bookmarkStart w:id="181" w:name="_Toc28340"/>
      <w:bookmarkStart w:id="182" w:name="_Toc465353229"/>
      <w:bookmarkStart w:id="183" w:name="_Toc15006"/>
    </w:p>
    <w:p>
      <w:pPr>
        <w:rPr>
          <w:highlight w:val="none"/>
        </w:rPr>
      </w:pPr>
    </w:p>
    <w:p>
      <w:pPr>
        <w:rPr>
          <w:highlight w:val="none"/>
        </w:rPr>
      </w:pPr>
    </w:p>
    <w:p>
      <w:pPr>
        <w:rPr>
          <w:highlight w:val="none"/>
        </w:rPr>
      </w:pPr>
    </w:p>
    <w:p>
      <w:pPr>
        <w:rPr>
          <w:highlight w:val="none"/>
        </w:rPr>
      </w:pPr>
    </w:p>
    <w:p>
      <w:pPr>
        <w:pStyle w:val="4"/>
        <w:rPr>
          <w:color w:val="auto"/>
          <w:highlight w:val="none"/>
        </w:rPr>
      </w:pPr>
    </w:p>
    <w:p>
      <w:pPr>
        <w:rPr>
          <w:highlight w:val="none"/>
        </w:rPr>
      </w:pPr>
    </w:p>
    <w:p>
      <w:pPr>
        <w:rPr>
          <w:highlight w:val="none"/>
        </w:rPr>
      </w:pPr>
    </w:p>
    <w:p>
      <w:pPr>
        <w:rPr>
          <w:highlight w:val="none"/>
        </w:rPr>
      </w:pPr>
    </w:p>
    <w:p>
      <w:pPr>
        <w:pStyle w:val="4"/>
        <w:rPr>
          <w:color w:val="auto"/>
          <w:highlight w:val="none"/>
        </w:rPr>
      </w:pPr>
      <w:bookmarkStart w:id="184" w:name="_Toc19606"/>
      <w:r>
        <w:rPr>
          <w:rFonts w:hint="eastAsia"/>
          <w:color w:val="auto"/>
          <w:highlight w:val="none"/>
        </w:rPr>
        <w:t>表5-8</w:t>
      </w:r>
      <w:r>
        <w:rPr>
          <w:color w:val="auto"/>
          <w:highlight w:val="none"/>
        </w:rPr>
        <w:t xml:space="preserve">  详细报价</w:t>
      </w:r>
      <w:bookmarkEnd w:id="178"/>
      <w:bookmarkEnd w:id="179"/>
      <w:r>
        <w:rPr>
          <w:rFonts w:hint="eastAsia"/>
          <w:color w:val="auto"/>
          <w:highlight w:val="none"/>
        </w:rPr>
        <w:t>表</w:t>
      </w:r>
      <w:bookmarkEnd w:id="180"/>
      <w:bookmarkEnd w:id="181"/>
      <w:bookmarkEnd w:id="182"/>
      <w:bookmarkEnd w:id="183"/>
      <w:bookmarkEnd w:id="184"/>
    </w:p>
    <w:p>
      <w:pPr>
        <w:pStyle w:val="5"/>
        <w:rPr>
          <w:highlight w:val="none"/>
        </w:rPr>
      </w:pPr>
    </w:p>
    <w:p>
      <w:pPr>
        <w:rPr>
          <w:highlight w:val="none"/>
        </w:rPr>
      </w:pPr>
      <w:bookmarkStart w:id="185" w:name="_Toc1150"/>
      <w:bookmarkStart w:id="186" w:name="_Toc465353230"/>
      <w:bookmarkStart w:id="187" w:name="_Toc20438"/>
      <w:r>
        <w:rPr>
          <w:rFonts w:hint="eastAsia"/>
          <w:highlight w:val="none"/>
        </w:rPr>
        <w:t>分项报价明细表</w:t>
      </w:r>
      <w:bookmarkEnd w:id="185"/>
      <w:r>
        <w:rPr>
          <w:rFonts w:hint="eastAsia"/>
          <w:highlight w:val="none"/>
        </w:rPr>
        <w:t>（按工程量清单报价）</w:t>
      </w:r>
      <w:bookmarkEnd w:id="186"/>
      <w:bookmarkEnd w:id="187"/>
    </w:p>
    <w:p>
      <w:pPr>
        <w:rPr>
          <w:rFonts w:ascii="仿宋_GB2312" w:hAnsi="宋体" w:eastAsia="仿宋_GB2312"/>
          <w:sz w:val="24"/>
          <w:highlight w:val="none"/>
        </w:rPr>
      </w:pPr>
    </w:p>
    <w:p>
      <w:pPr>
        <w:tabs>
          <w:tab w:val="left" w:pos="5040"/>
        </w:tabs>
        <w:ind w:firstLine="1155" w:firstLineChars="550"/>
        <w:rPr>
          <w:rFonts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 xml:space="preserve">      项目编号</w:t>
      </w:r>
      <w:r>
        <w:rPr>
          <w:rFonts w:hint="eastAsia" w:ascii="宋体" w:hAnsi="宋体"/>
          <w:szCs w:val="21"/>
          <w:highlight w:val="none"/>
          <w:u w:val="single"/>
        </w:rPr>
        <w:t xml:space="preserve">                   </w:t>
      </w:r>
      <w:r>
        <w:rPr>
          <w:rFonts w:hint="eastAsia" w:ascii="宋体" w:hAnsi="宋体"/>
          <w:szCs w:val="21"/>
          <w:highlight w:val="none"/>
        </w:rPr>
        <w:t xml:space="preserve">  </w:t>
      </w: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ind w:firstLine="420" w:firstLineChars="200"/>
        <w:rPr>
          <w:rFonts w:ascii="宋体" w:hAnsi="宋体"/>
          <w:szCs w:val="21"/>
          <w:highlight w:val="none"/>
        </w:rPr>
      </w:pPr>
      <w:r>
        <w:rPr>
          <w:rFonts w:hint="eastAsia" w:ascii="宋体" w:hAnsi="宋体"/>
          <w:szCs w:val="21"/>
          <w:highlight w:val="none"/>
        </w:rPr>
        <w:t>注：</w:t>
      </w:r>
    </w:p>
    <w:p>
      <w:pPr>
        <w:numPr>
          <w:ilvl w:val="0"/>
          <w:numId w:val="21"/>
        </w:numPr>
        <w:tabs>
          <w:tab w:val="left" w:pos="640"/>
          <w:tab w:val="left" w:pos="840"/>
          <w:tab w:val="clear" w:pos="0"/>
        </w:tabs>
        <w:spacing w:line="360" w:lineRule="auto"/>
        <w:ind w:left="416" w:leftChars="198"/>
        <w:rPr>
          <w:rFonts w:ascii="宋体" w:hAnsi="宋体"/>
          <w:szCs w:val="21"/>
          <w:highlight w:val="none"/>
        </w:rPr>
      </w:pPr>
      <w:r>
        <w:rPr>
          <w:rFonts w:hint="eastAsia" w:ascii="宋体" w:hAnsi="宋体"/>
          <w:szCs w:val="21"/>
          <w:highlight w:val="none"/>
        </w:rPr>
        <w:t>如果分项报价与总报价不一致，以分项报价的汇总价为准。</w:t>
      </w:r>
    </w:p>
    <w:p>
      <w:pPr>
        <w:numPr>
          <w:ilvl w:val="0"/>
          <w:numId w:val="21"/>
        </w:numPr>
        <w:tabs>
          <w:tab w:val="left" w:pos="220"/>
          <w:tab w:val="left" w:pos="840"/>
          <w:tab w:val="clear" w:pos="0"/>
        </w:tabs>
        <w:spacing w:line="360" w:lineRule="auto"/>
        <w:ind w:left="416" w:leftChars="198"/>
        <w:rPr>
          <w:rFonts w:ascii="宋体" w:hAnsi="宋体"/>
          <w:szCs w:val="21"/>
          <w:highlight w:val="none"/>
        </w:rPr>
      </w:pPr>
      <w:r>
        <w:rPr>
          <w:rFonts w:hint="eastAsia" w:ascii="宋体" w:hAnsi="宋体"/>
          <w:szCs w:val="21"/>
          <w:highlight w:val="none"/>
        </w:rPr>
        <w:t>如果不提供详细分项报价将视为没有实质性响应招标文件。</w:t>
      </w:r>
    </w:p>
    <w:p>
      <w:pPr>
        <w:numPr>
          <w:ilvl w:val="0"/>
          <w:numId w:val="21"/>
        </w:numPr>
        <w:tabs>
          <w:tab w:val="left" w:pos="640"/>
          <w:tab w:val="left" w:pos="840"/>
          <w:tab w:val="clear" w:pos="0"/>
        </w:tabs>
        <w:spacing w:line="360" w:lineRule="auto"/>
        <w:ind w:left="416" w:leftChars="198"/>
        <w:rPr>
          <w:rFonts w:ascii="宋体" w:hAnsi="宋体"/>
          <w:szCs w:val="21"/>
          <w:highlight w:val="none"/>
        </w:rPr>
      </w:pPr>
      <w:r>
        <w:rPr>
          <w:rFonts w:hint="eastAsia" w:ascii="宋体" w:hAnsi="宋体"/>
          <w:szCs w:val="21"/>
          <w:highlight w:val="none"/>
        </w:rPr>
        <w:t>按工程量清单报价。</w:t>
      </w: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cs="Arial"/>
          <w:szCs w:val="21"/>
          <w:highlight w:val="none"/>
        </w:rPr>
      </w:pPr>
      <w:r>
        <w:rPr>
          <w:rFonts w:hint="eastAsia" w:ascii="宋体" w:hAnsi="宋体"/>
          <w:szCs w:val="21"/>
          <w:highlight w:val="none"/>
        </w:rPr>
        <w:t>供应商名称（加盖公章）：</w:t>
      </w:r>
    </w:p>
    <w:p>
      <w:pPr>
        <w:spacing w:line="360" w:lineRule="auto"/>
        <w:rPr>
          <w:rFonts w:ascii="宋体" w:hAnsi="宋体"/>
          <w:szCs w:val="21"/>
          <w:highlight w:val="none"/>
        </w:rPr>
      </w:pPr>
      <w:r>
        <w:rPr>
          <w:rFonts w:hint="eastAsia" w:ascii="宋体" w:hAnsi="宋体"/>
          <w:szCs w:val="21"/>
          <w:highlight w:val="none"/>
        </w:rPr>
        <w:t>供应商</w:t>
      </w:r>
      <w:r>
        <w:rPr>
          <w:rFonts w:hint="eastAsia" w:ascii="宋体" w:hAnsi="宋体" w:cs="Arial"/>
          <w:szCs w:val="21"/>
          <w:highlight w:val="none"/>
        </w:rPr>
        <w:t>法定代表人或其委托人签字：</w:t>
      </w:r>
      <w:r>
        <w:rPr>
          <w:rFonts w:ascii="宋体" w:hAnsi="宋体"/>
          <w:szCs w:val="21"/>
          <w:highlight w:val="none"/>
        </w:rPr>
        <w:t xml:space="preserve"> _____________</w:t>
      </w:r>
    </w:p>
    <w:p>
      <w:pPr>
        <w:spacing w:line="360" w:lineRule="auto"/>
        <w:rPr>
          <w:rFonts w:ascii="宋体" w:hAnsi="宋体"/>
          <w:szCs w:val="21"/>
          <w:highlight w:val="none"/>
        </w:rPr>
      </w:pPr>
      <w:r>
        <w:rPr>
          <w:rFonts w:hint="eastAsia" w:ascii="宋体" w:hAnsi="宋体"/>
          <w:szCs w:val="21"/>
          <w:highlight w:val="none"/>
        </w:rPr>
        <w:t>日  期：</w:t>
      </w:r>
    </w:p>
    <w:p>
      <w:pPr>
        <w:pStyle w:val="4"/>
        <w:jc w:val="both"/>
        <w:rPr>
          <w:color w:val="auto"/>
          <w:highlight w:val="none"/>
        </w:rPr>
      </w:pPr>
      <w:bookmarkStart w:id="188" w:name="_Toc22370"/>
      <w:bookmarkStart w:id="189" w:name="_Toc19305"/>
      <w:bookmarkStart w:id="190" w:name="_Toc465353231"/>
      <w:bookmarkStart w:id="191" w:name="_Toc118799881"/>
      <w:bookmarkStart w:id="192" w:name="_Toc456949306"/>
    </w:p>
    <w:p>
      <w:pPr>
        <w:rPr>
          <w:highlight w:val="none"/>
        </w:rPr>
      </w:pPr>
    </w:p>
    <w:p>
      <w:pPr>
        <w:pStyle w:val="4"/>
        <w:rPr>
          <w:color w:val="auto"/>
          <w:highlight w:val="none"/>
        </w:rPr>
      </w:pPr>
      <w:bookmarkStart w:id="193" w:name="_Toc23514_WPSOffice_Level2"/>
      <w:r>
        <w:rPr>
          <w:color w:val="auto"/>
          <w:highlight w:val="none"/>
        </w:rPr>
        <w:br w:type="page"/>
      </w:r>
      <w:bookmarkStart w:id="194" w:name="_Toc7075"/>
      <w:r>
        <w:rPr>
          <w:rFonts w:hint="eastAsia"/>
          <w:color w:val="auto"/>
          <w:highlight w:val="none"/>
        </w:rPr>
        <w:t>表5-9  报价</w:t>
      </w:r>
      <w:r>
        <w:rPr>
          <w:color w:val="auto"/>
          <w:highlight w:val="none"/>
        </w:rPr>
        <w:t>响应与</w:t>
      </w:r>
      <w:r>
        <w:rPr>
          <w:rFonts w:hint="eastAsia"/>
          <w:color w:val="auto"/>
          <w:highlight w:val="none"/>
        </w:rPr>
        <w:t>磋商</w:t>
      </w:r>
      <w:r>
        <w:rPr>
          <w:color w:val="auto"/>
          <w:highlight w:val="none"/>
        </w:rPr>
        <w:t>文件差异一览表</w:t>
      </w:r>
      <w:bookmarkEnd w:id="188"/>
      <w:bookmarkEnd w:id="189"/>
      <w:bookmarkEnd w:id="190"/>
      <w:bookmarkEnd w:id="191"/>
      <w:bookmarkEnd w:id="192"/>
      <w:bookmarkEnd w:id="193"/>
      <w:bookmarkEnd w:id="194"/>
    </w:p>
    <w:p>
      <w:pPr>
        <w:spacing w:line="360" w:lineRule="auto"/>
        <w:jc w:val="both"/>
        <w:rPr>
          <w:rFonts w:ascii="宋体" w:hAnsi="宋体" w:cs="Arial"/>
          <w:b/>
          <w:szCs w:val="21"/>
          <w:highlight w:val="none"/>
        </w:rPr>
      </w:pPr>
      <w:r>
        <w:rPr>
          <w:rFonts w:hint="eastAsia" w:ascii="宋体" w:hAnsi="宋体" w:cs="Arial"/>
          <w:szCs w:val="21"/>
          <w:highlight w:val="none"/>
        </w:rPr>
        <w:t>项目</w:t>
      </w:r>
      <w:r>
        <w:rPr>
          <w:rFonts w:ascii="宋体" w:hAnsi="宋体" w:cs="Arial"/>
          <w:szCs w:val="21"/>
          <w:highlight w:val="none"/>
        </w:rPr>
        <w:t>编号：</w:t>
      </w:r>
      <w:r>
        <w:rPr>
          <w:rFonts w:hint="eastAsia" w:ascii="宋体" w:hAnsi="宋体" w:cs="Arial"/>
          <w:szCs w:val="21"/>
          <w:highlight w:val="none"/>
        </w:rPr>
        <w:t xml:space="preserve"> </w:t>
      </w:r>
    </w:p>
    <w:tbl>
      <w:tblPr>
        <w:tblStyle w:val="41"/>
        <w:tblW w:w="972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63"/>
        <w:gridCol w:w="1830"/>
        <w:gridCol w:w="2410"/>
        <w:gridCol w:w="2258"/>
        <w:gridCol w:w="21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6" w:hRule="atLeast"/>
          <w:jc w:val="center"/>
        </w:trPr>
        <w:tc>
          <w:tcPr>
            <w:tcW w:w="1063"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序号</w:t>
            </w:r>
          </w:p>
        </w:tc>
        <w:tc>
          <w:tcPr>
            <w:tcW w:w="1830"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章节</w:t>
            </w:r>
          </w:p>
        </w:tc>
        <w:tc>
          <w:tcPr>
            <w:tcW w:w="2410" w:type="dxa"/>
            <w:tcBorders>
              <w:top w:val="double" w:color="auto" w:sz="4" w:space="0"/>
              <w:bottom w:val="single" w:color="auto" w:sz="6" w:space="0"/>
            </w:tcBorders>
            <w:shd w:val="clear" w:color="auto" w:fill="E0E0E0"/>
            <w:vAlign w:val="center"/>
          </w:tcPr>
          <w:p>
            <w:pPr>
              <w:pStyle w:val="68"/>
              <w:keepNext w:val="0"/>
              <w:adjustRightInd/>
              <w:spacing w:before="0" w:after="0" w:line="240" w:lineRule="auto"/>
              <w:textAlignment w:val="auto"/>
              <w:rPr>
                <w:rFonts w:ascii="宋体" w:hAnsi="宋体"/>
                <w:b/>
                <w:bCs/>
                <w:spacing w:val="0"/>
                <w:sz w:val="21"/>
                <w:szCs w:val="21"/>
                <w:highlight w:val="none"/>
              </w:rPr>
            </w:pPr>
            <w:r>
              <w:rPr>
                <w:rFonts w:hint="eastAsia" w:ascii="宋体" w:hAnsi="宋体"/>
                <w:b/>
                <w:bCs/>
                <w:spacing w:val="0"/>
                <w:sz w:val="21"/>
                <w:szCs w:val="21"/>
                <w:highlight w:val="none"/>
              </w:rPr>
              <w:t>磋商文件要求</w:t>
            </w:r>
          </w:p>
        </w:tc>
        <w:tc>
          <w:tcPr>
            <w:tcW w:w="2258"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供应商应答</w:t>
            </w:r>
          </w:p>
        </w:tc>
        <w:tc>
          <w:tcPr>
            <w:tcW w:w="2163"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响应或</w:t>
            </w:r>
            <w:r>
              <w:rPr>
                <w:rFonts w:ascii="宋体" w:hAnsi="宋体"/>
                <w:b/>
                <w:bCs/>
                <w:szCs w:val="21"/>
                <w:highlight w:val="none"/>
              </w:rPr>
              <w:t>差异</w:t>
            </w:r>
            <w:r>
              <w:rPr>
                <w:rFonts w:hint="eastAsia" w:ascii="宋体" w:hAnsi="宋体"/>
                <w:b/>
                <w:bCs/>
                <w:szCs w:val="21"/>
                <w:highlight w:val="none"/>
              </w:rPr>
              <w:t>情况说明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724" w:type="dxa"/>
            <w:gridSpan w:val="5"/>
            <w:tcBorders>
              <w:top w:val="single" w:color="auto" w:sz="6" w:space="0"/>
            </w:tcBorders>
          </w:tcPr>
          <w:p>
            <w:pPr>
              <w:spacing w:before="120" w:beforeLines="50" w:after="120" w:afterLines="50" w:line="360" w:lineRule="exact"/>
              <w:rPr>
                <w:rFonts w:ascii="宋体" w:hAnsi="宋体" w:cs="Arial"/>
                <w:b/>
                <w:szCs w:val="21"/>
                <w:highlight w:val="none"/>
              </w:rPr>
            </w:pPr>
            <w:r>
              <w:rPr>
                <w:rFonts w:hint="eastAsia" w:ascii="宋体" w:hAnsi="宋体" w:cs="Arial"/>
                <w:b/>
                <w:szCs w:val="21"/>
                <w:highlight w:val="none"/>
              </w:rPr>
              <w:t>商务部分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724" w:type="dxa"/>
            <w:gridSpan w:val="5"/>
          </w:tcPr>
          <w:p>
            <w:pPr>
              <w:spacing w:before="120" w:beforeLines="50" w:after="120" w:afterLines="50" w:line="360" w:lineRule="exact"/>
              <w:rPr>
                <w:rFonts w:ascii="宋体" w:hAnsi="宋体" w:cs="Arial"/>
                <w:b/>
                <w:szCs w:val="21"/>
                <w:highlight w:val="none"/>
              </w:rPr>
            </w:pPr>
            <w:r>
              <w:rPr>
                <w:rFonts w:hint="eastAsia" w:ascii="宋体" w:hAnsi="宋体" w:cs="Arial"/>
                <w:b/>
                <w:szCs w:val="21"/>
                <w:highlight w:val="none"/>
              </w:rPr>
              <w:t>技术部分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bl>
    <w:p>
      <w:pPr>
        <w:spacing w:line="360" w:lineRule="auto"/>
        <w:rPr>
          <w:rFonts w:ascii="宋体" w:hAnsi="宋体"/>
          <w:szCs w:val="21"/>
          <w:highlight w:val="none"/>
        </w:rPr>
      </w:pPr>
      <w:bookmarkStart w:id="195" w:name="_Toc56911036"/>
    </w:p>
    <w:p>
      <w:pPr>
        <w:spacing w:line="360" w:lineRule="auto"/>
        <w:rPr>
          <w:rFonts w:ascii="宋体" w:hAnsi="宋体"/>
          <w:szCs w:val="21"/>
          <w:highlight w:val="none"/>
        </w:rPr>
      </w:pPr>
      <w:r>
        <w:rPr>
          <w:rFonts w:hint="eastAsia" w:ascii="宋体" w:hAnsi="宋体"/>
          <w:szCs w:val="21"/>
          <w:highlight w:val="none"/>
        </w:rPr>
        <w:t>注：1、请在上表填写与磋商文件要求有差异的内容，包括优于/差于磋商文件的要求；</w:t>
      </w:r>
    </w:p>
    <w:p>
      <w:pPr>
        <w:spacing w:line="360" w:lineRule="auto"/>
        <w:ind w:firstLine="420" w:firstLineChars="200"/>
        <w:rPr>
          <w:rFonts w:ascii="宋体" w:hAnsi="宋体"/>
          <w:szCs w:val="21"/>
          <w:highlight w:val="none"/>
        </w:rPr>
      </w:pPr>
      <w:r>
        <w:rPr>
          <w:rFonts w:hint="eastAsia" w:ascii="宋体" w:hAnsi="宋体"/>
          <w:szCs w:val="21"/>
          <w:highlight w:val="none"/>
        </w:rPr>
        <w:t>2、如果与磋商文件完全没有差异，此表可填全部响应。</w:t>
      </w: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供应商名称（加盖公章）：</w:t>
      </w:r>
    </w:p>
    <w:p>
      <w:pPr>
        <w:spacing w:line="360" w:lineRule="auto"/>
        <w:rPr>
          <w:rFonts w:ascii="宋体" w:hAnsi="宋体" w:cs="Arial"/>
          <w:szCs w:val="21"/>
          <w:highlight w:val="none"/>
        </w:rPr>
      </w:pPr>
    </w:p>
    <w:p>
      <w:pPr>
        <w:spacing w:line="360" w:lineRule="auto"/>
        <w:rPr>
          <w:rFonts w:ascii="宋体" w:hAnsi="宋体"/>
          <w:szCs w:val="21"/>
          <w:highlight w:val="none"/>
        </w:rPr>
      </w:pPr>
      <w:r>
        <w:rPr>
          <w:rFonts w:hint="eastAsia" w:ascii="宋体" w:hAnsi="宋体"/>
          <w:szCs w:val="21"/>
          <w:highlight w:val="none"/>
        </w:rPr>
        <w:t>供应商</w:t>
      </w:r>
      <w:r>
        <w:rPr>
          <w:rFonts w:hint="eastAsia" w:ascii="宋体" w:hAnsi="宋体" w:cs="Arial"/>
          <w:szCs w:val="21"/>
          <w:highlight w:val="none"/>
        </w:rPr>
        <w:t>法定代表人或其委托人签字：</w:t>
      </w:r>
      <w:r>
        <w:rPr>
          <w:rFonts w:ascii="宋体" w:hAnsi="宋体"/>
          <w:szCs w:val="21"/>
          <w:highlight w:val="none"/>
        </w:rPr>
        <w:t xml:space="preserve"> _____________</w:t>
      </w: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日  期：</w:t>
      </w:r>
      <w:bookmarkEnd w:id="195"/>
      <w:bookmarkStart w:id="196" w:name="shouhou"/>
      <w:bookmarkEnd w:id="196"/>
      <w:bookmarkStart w:id="197" w:name="_Toc25961"/>
      <w:bookmarkStart w:id="198" w:name="_Toc118799885"/>
      <w:bookmarkStart w:id="199" w:name="_Toc465353232"/>
      <w:bookmarkStart w:id="200" w:name="_Toc27112"/>
      <w:bookmarkStart w:id="201" w:name="_Toc536777264"/>
      <w:bookmarkStart w:id="202" w:name="_Toc8615_WPSOffice_Level2"/>
      <w:bookmarkStart w:id="203" w:name="_Toc456949307"/>
      <w:bookmarkStart w:id="204" w:name="_Toc12118379"/>
      <w:bookmarkStart w:id="205" w:name="_Toc494875422"/>
      <w:bookmarkStart w:id="206" w:name="_Toc490832212"/>
      <w:bookmarkStart w:id="207" w:name="_Toc517502644"/>
      <w:bookmarkStart w:id="208" w:name="_Toc506611613"/>
      <w:bookmarkStart w:id="209" w:name="_Toc506611821"/>
      <w:bookmarkStart w:id="210" w:name="_Toc506628564"/>
    </w:p>
    <w:p>
      <w:pPr>
        <w:spacing w:line="360" w:lineRule="auto"/>
        <w:rPr>
          <w:rFonts w:ascii="宋体" w:hAnsi="宋体"/>
          <w:szCs w:val="21"/>
          <w:highlight w:val="none"/>
        </w:rPr>
      </w:pPr>
    </w:p>
    <w:p>
      <w:pPr>
        <w:pStyle w:val="4"/>
        <w:rPr>
          <w:color w:val="auto"/>
          <w:highlight w:val="none"/>
        </w:rPr>
      </w:pPr>
      <w:bookmarkStart w:id="211" w:name="_Toc29779"/>
      <w:r>
        <w:rPr>
          <w:rFonts w:hint="eastAsia"/>
          <w:color w:val="auto"/>
          <w:highlight w:val="none"/>
        </w:rPr>
        <w:t xml:space="preserve">表5-10  </w:t>
      </w:r>
      <w:r>
        <w:rPr>
          <w:rFonts w:hint="eastAsia"/>
          <w:color w:val="auto"/>
          <w:szCs w:val="21"/>
          <w:highlight w:val="none"/>
        </w:rPr>
        <w:t>供应商</w:t>
      </w:r>
      <w:r>
        <w:rPr>
          <w:rFonts w:hint="eastAsia"/>
          <w:color w:val="auto"/>
          <w:highlight w:val="none"/>
        </w:rPr>
        <w:t>基本情况</w:t>
      </w:r>
      <w:bookmarkEnd w:id="197"/>
      <w:bookmarkEnd w:id="198"/>
      <w:bookmarkEnd w:id="199"/>
      <w:bookmarkEnd w:id="200"/>
      <w:bookmarkEnd w:id="201"/>
      <w:bookmarkEnd w:id="202"/>
      <w:bookmarkEnd w:id="203"/>
      <w:bookmarkEnd w:id="204"/>
      <w:bookmarkEnd w:id="211"/>
    </w:p>
    <w:p>
      <w:pPr>
        <w:numPr>
          <w:ilvl w:val="0"/>
          <w:numId w:val="22"/>
        </w:numPr>
        <w:tabs>
          <w:tab w:val="left" w:pos="530"/>
          <w:tab w:val="clear" w:pos="720"/>
        </w:tabs>
        <w:spacing w:line="360" w:lineRule="auto"/>
        <w:ind w:left="530" w:hanging="530"/>
        <w:rPr>
          <w:rFonts w:ascii="宋体" w:hAnsi="宋体" w:cs="Arial"/>
          <w:b/>
          <w:highlight w:val="none"/>
        </w:rPr>
      </w:pPr>
      <w:bookmarkStart w:id="212" w:name="_Toc536777266"/>
      <w:bookmarkStart w:id="213" w:name="_Toc68581585"/>
      <w:bookmarkStart w:id="214" w:name="_Toc37486866"/>
      <w:bookmarkStart w:id="215" w:name="_Toc12118381"/>
      <w:bookmarkStart w:id="216" w:name="_Toc535633948"/>
      <w:bookmarkStart w:id="217" w:name="_Toc518605390"/>
      <w:bookmarkStart w:id="218" w:name="_Toc118799886"/>
      <w:r>
        <w:rPr>
          <w:rFonts w:hint="eastAsia" w:ascii="宋体" w:hAnsi="宋体"/>
          <w:szCs w:val="21"/>
          <w:highlight w:val="none"/>
        </w:rPr>
        <w:t>供应商概况</w:t>
      </w:r>
    </w:p>
    <w:p>
      <w:pPr>
        <w:numPr>
          <w:ilvl w:val="0"/>
          <w:numId w:val="23"/>
        </w:numPr>
        <w:tabs>
          <w:tab w:val="left" w:pos="530"/>
          <w:tab w:val="clear" w:pos="720"/>
        </w:tabs>
        <w:spacing w:line="360" w:lineRule="auto"/>
        <w:ind w:left="530" w:hanging="424"/>
        <w:rPr>
          <w:rFonts w:ascii="宋体" w:hAnsi="宋体" w:cs="Arial"/>
          <w:b/>
          <w:highlight w:val="none"/>
        </w:rPr>
      </w:pPr>
      <w:r>
        <w:rPr>
          <w:rFonts w:hint="eastAsia" w:ascii="宋体" w:hAnsi="宋体"/>
          <w:szCs w:val="21"/>
          <w:highlight w:val="none"/>
        </w:rPr>
        <w:t>供应商</w:t>
      </w:r>
      <w:r>
        <w:rPr>
          <w:rFonts w:hint="eastAsia"/>
          <w:szCs w:val="21"/>
          <w:highlight w:val="none"/>
        </w:rPr>
        <w:t>情况介绍表</w:t>
      </w:r>
    </w:p>
    <w:tbl>
      <w:tblPr>
        <w:tblStyle w:val="41"/>
        <w:tblW w:w="946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68"/>
        <w:gridCol w:w="1240"/>
        <w:gridCol w:w="1460"/>
        <w:gridCol w:w="227"/>
        <w:gridCol w:w="1393"/>
        <w:gridCol w:w="256"/>
        <w:gridCol w:w="1004"/>
        <w:gridCol w:w="788"/>
        <w:gridCol w:w="292"/>
        <w:gridCol w:w="144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单位名称</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地址</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主管部门</w:t>
            </w:r>
          </w:p>
        </w:tc>
        <w:tc>
          <w:tcPr>
            <w:tcW w:w="1240" w:type="dxa"/>
            <w:vAlign w:val="center"/>
          </w:tcPr>
          <w:p>
            <w:pPr>
              <w:tabs>
                <w:tab w:val="left" w:pos="540"/>
              </w:tabs>
              <w:ind w:left="-132" w:leftChars="-64" w:right="-105" w:rightChars="-50" w:hanging="2"/>
              <w:jc w:val="center"/>
              <w:rPr>
                <w:szCs w:val="21"/>
                <w:highlight w:val="none"/>
              </w:rPr>
            </w:pPr>
          </w:p>
        </w:tc>
        <w:tc>
          <w:tcPr>
            <w:tcW w:w="1687"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法人代表</w:t>
            </w:r>
          </w:p>
        </w:tc>
        <w:tc>
          <w:tcPr>
            <w:tcW w:w="1649" w:type="dxa"/>
            <w:gridSpan w:val="2"/>
            <w:vAlign w:val="center"/>
          </w:tcPr>
          <w:p>
            <w:pPr>
              <w:tabs>
                <w:tab w:val="left" w:pos="540"/>
              </w:tabs>
              <w:ind w:left="-132" w:leftChars="-64" w:right="-105" w:rightChars="-50" w:hanging="2"/>
              <w:jc w:val="center"/>
              <w:rPr>
                <w:szCs w:val="21"/>
                <w:highlight w:val="none"/>
              </w:rPr>
            </w:pPr>
          </w:p>
        </w:tc>
        <w:tc>
          <w:tcPr>
            <w:tcW w:w="1792"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职务</w:t>
            </w:r>
          </w:p>
        </w:tc>
        <w:tc>
          <w:tcPr>
            <w:tcW w:w="1732" w:type="dxa"/>
            <w:gridSpan w:val="2"/>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经济类型</w:t>
            </w:r>
          </w:p>
        </w:tc>
        <w:tc>
          <w:tcPr>
            <w:tcW w:w="1240" w:type="dxa"/>
            <w:vAlign w:val="center"/>
          </w:tcPr>
          <w:p>
            <w:pPr>
              <w:tabs>
                <w:tab w:val="left" w:pos="540"/>
              </w:tabs>
              <w:ind w:left="-132" w:leftChars="-64" w:right="-105" w:rightChars="-50" w:hanging="2"/>
              <w:jc w:val="center"/>
              <w:rPr>
                <w:szCs w:val="21"/>
                <w:highlight w:val="none"/>
              </w:rPr>
            </w:pPr>
          </w:p>
        </w:tc>
        <w:tc>
          <w:tcPr>
            <w:tcW w:w="1687"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授权代表</w:t>
            </w:r>
          </w:p>
        </w:tc>
        <w:tc>
          <w:tcPr>
            <w:tcW w:w="1649" w:type="dxa"/>
            <w:gridSpan w:val="2"/>
            <w:vAlign w:val="center"/>
          </w:tcPr>
          <w:p>
            <w:pPr>
              <w:tabs>
                <w:tab w:val="left" w:pos="540"/>
              </w:tabs>
              <w:ind w:left="-132" w:leftChars="-64" w:right="-105" w:rightChars="-50" w:hanging="2"/>
              <w:jc w:val="center"/>
              <w:rPr>
                <w:szCs w:val="21"/>
                <w:highlight w:val="none"/>
              </w:rPr>
            </w:pPr>
          </w:p>
        </w:tc>
        <w:tc>
          <w:tcPr>
            <w:tcW w:w="1792"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职务</w:t>
            </w:r>
          </w:p>
        </w:tc>
        <w:tc>
          <w:tcPr>
            <w:tcW w:w="1732" w:type="dxa"/>
            <w:gridSpan w:val="2"/>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邮编</w:t>
            </w:r>
          </w:p>
        </w:tc>
        <w:tc>
          <w:tcPr>
            <w:tcW w:w="1240" w:type="dxa"/>
            <w:vAlign w:val="center"/>
          </w:tcPr>
          <w:p>
            <w:pPr>
              <w:tabs>
                <w:tab w:val="left" w:pos="540"/>
              </w:tabs>
              <w:ind w:left="-132" w:leftChars="-64" w:right="-105" w:rightChars="-50" w:hanging="2"/>
              <w:jc w:val="center"/>
              <w:rPr>
                <w:szCs w:val="21"/>
                <w:highlight w:val="none"/>
              </w:rPr>
            </w:pPr>
          </w:p>
        </w:tc>
        <w:tc>
          <w:tcPr>
            <w:tcW w:w="1687"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电话</w:t>
            </w:r>
          </w:p>
        </w:tc>
        <w:tc>
          <w:tcPr>
            <w:tcW w:w="1649" w:type="dxa"/>
            <w:gridSpan w:val="2"/>
            <w:vAlign w:val="center"/>
          </w:tcPr>
          <w:p>
            <w:pPr>
              <w:tabs>
                <w:tab w:val="left" w:pos="540"/>
              </w:tabs>
              <w:ind w:left="-132" w:leftChars="-64" w:right="-105" w:rightChars="-50" w:hanging="2"/>
              <w:jc w:val="center"/>
              <w:rPr>
                <w:szCs w:val="21"/>
                <w:highlight w:val="none"/>
              </w:rPr>
            </w:pPr>
          </w:p>
        </w:tc>
        <w:tc>
          <w:tcPr>
            <w:tcW w:w="1792"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传真</w:t>
            </w:r>
          </w:p>
        </w:tc>
        <w:tc>
          <w:tcPr>
            <w:tcW w:w="1732" w:type="dxa"/>
            <w:gridSpan w:val="2"/>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8"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单位简介</w:t>
            </w:r>
          </w:p>
          <w:p>
            <w:pPr>
              <w:tabs>
                <w:tab w:val="left" w:pos="540"/>
              </w:tabs>
              <w:ind w:left="-132" w:leftChars="-64" w:right="-105" w:rightChars="-50" w:hanging="2"/>
              <w:jc w:val="center"/>
              <w:rPr>
                <w:b/>
                <w:szCs w:val="21"/>
                <w:highlight w:val="none"/>
              </w:rPr>
            </w:pPr>
            <w:r>
              <w:rPr>
                <w:rFonts w:hint="eastAsia"/>
                <w:b/>
                <w:szCs w:val="21"/>
                <w:highlight w:val="none"/>
              </w:rPr>
              <w:t>及机构设置</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2"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单位优势</w:t>
            </w:r>
          </w:p>
          <w:p>
            <w:pPr>
              <w:tabs>
                <w:tab w:val="left" w:pos="540"/>
              </w:tabs>
              <w:ind w:left="-132" w:leftChars="-64" w:right="-105" w:rightChars="-50" w:hanging="2"/>
              <w:jc w:val="center"/>
              <w:rPr>
                <w:b/>
                <w:szCs w:val="21"/>
                <w:highlight w:val="none"/>
              </w:rPr>
            </w:pPr>
            <w:r>
              <w:rPr>
                <w:rFonts w:hint="eastAsia"/>
                <w:b/>
                <w:szCs w:val="21"/>
                <w:highlight w:val="none"/>
              </w:rPr>
              <w:t>及特长</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restart"/>
            <w:vAlign w:val="center"/>
          </w:tcPr>
          <w:p>
            <w:pPr>
              <w:tabs>
                <w:tab w:val="left" w:pos="540"/>
              </w:tabs>
              <w:ind w:left="-132" w:leftChars="-64" w:right="-105" w:rightChars="-50" w:hanging="2"/>
              <w:jc w:val="center"/>
              <w:rPr>
                <w:b/>
                <w:szCs w:val="21"/>
                <w:highlight w:val="none"/>
              </w:rPr>
            </w:pPr>
            <w:r>
              <w:rPr>
                <w:rFonts w:hint="eastAsia"/>
                <w:b/>
                <w:szCs w:val="21"/>
                <w:highlight w:val="none"/>
              </w:rPr>
              <w:t>单位概况</w:t>
            </w:r>
          </w:p>
        </w:tc>
        <w:tc>
          <w:tcPr>
            <w:tcW w:w="1240" w:type="dxa"/>
            <w:vAlign w:val="center"/>
          </w:tcPr>
          <w:p>
            <w:pPr>
              <w:tabs>
                <w:tab w:val="left" w:pos="540"/>
              </w:tabs>
              <w:ind w:left="-132" w:leftChars="-64" w:right="-105" w:rightChars="-50" w:hanging="2"/>
              <w:jc w:val="center"/>
              <w:rPr>
                <w:szCs w:val="21"/>
                <w:highlight w:val="none"/>
              </w:rPr>
            </w:pPr>
            <w:r>
              <w:rPr>
                <w:rFonts w:hint="eastAsia"/>
                <w:szCs w:val="21"/>
                <w:highlight w:val="none"/>
              </w:rPr>
              <w:t>注册资本</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万元</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占地面积</w:t>
            </w:r>
          </w:p>
        </w:tc>
        <w:tc>
          <w:tcPr>
            <w:tcW w:w="3780" w:type="dxa"/>
            <w:gridSpan w:val="5"/>
            <w:vAlign w:val="center"/>
          </w:tcPr>
          <w:p>
            <w:pPr>
              <w:tabs>
                <w:tab w:val="left" w:pos="540"/>
              </w:tabs>
              <w:ind w:left="-134" w:leftChars="-64" w:right="-105" w:rightChars="-50" w:firstLine="3045" w:firstLineChars="1450"/>
              <w:jc w:val="center"/>
              <w:rPr>
                <w:szCs w:val="21"/>
                <w:highlight w:val="none"/>
              </w:rPr>
            </w:pPr>
            <w:r>
              <w:rPr>
                <w:rFonts w:hint="eastAsia"/>
                <w:szCs w:val="21"/>
                <w:highlight w:val="none"/>
              </w:rPr>
              <w:t>M</w:t>
            </w:r>
            <w:r>
              <w:rPr>
                <w:rFonts w:hint="eastAsia"/>
                <w:szCs w:val="21"/>
                <w:highlight w:val="none"/>
                <w:vertAlign w:val="superscript"/>
              </w:rPr>
              <w:t>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b/>
                <w:szCs w:val="21"/>
                <w:highlight w:val="none"/>
              </w:rPr>
            </w:pPr>
          </w:p>
        </w:tc>
        <w:tc>
          <w:tcPr>
            <w:tcW w:w="1240" w:type="dxa"/>
            <w:vAlign w:val="center"/>
          </w:tcPr>
          <w:p>
            <w:pPr>
              <w:tabs>
                <w:tab w:val="left" w:pos="540"/>
              </w:tabs>
              <w:ind w:left="-132" w:leftChars="-64" w:right="-105" w:rightChars="-50" w:hanging="2"/>
              <w:jc w:val="center"/>
              <w:rPr>
                <w:szCs w:val="21"/>
                <w:highlight w:val="none"/>
              </w:rPr>
            </w:pPr>
            <w:r>
              <w:rPr>
                <w:rFonts w:hint="eastAsia"/>
                <w:szCs w:val="21"/>
                <w:highlight w:val="none"/>
              </w:rPr>
              <w:t>职工总数</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人</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建筑面积</w:t>
            </w:r>
          </w:p>
        </w:tc>
        <w:tc>
          <w:tcPr>
            <w:tcW w:w="3780" w:type="dxa"/>
            <w:gridSpan w:val="5"/>
            <w:vAlign w:val="center"/>
          </w:tcPr>
          <w:p>
            <w:pPr>
              <w:tabs>
                <w:tab w:val="left" w:pos="540"/>
              </w:tabs>
              <w:ind w:left="-134" w:leftChars="-64" w:right="-105" w:rightChars="-50" w:firstLine="3045" w:firstLineChars="1450"/>
              <w:jc w:val="center"/>
              <w:rPr>
                <w:szCs w:val="21"/>
                <w:highlight w:val="none"/>
              </w:rPr>
            </w:pPr>
            <w:r>
              <w:rPr>
                <w:rFonts w:hint="eastAsia"/>
                <w:szCs w:val="21"/>
                <w:highlight w:val="none"/>
              </w:rPr>
              <w:t>M</w:t>
            </w:r>
            <w:r>
              <w:rPr>
                <w:rFonts w:hint="eastAsia"/>
                <w:szCs w:val="21"/>
                <w:highlight w:val="none"/>
                <w:vertAlign w:val="superscript"/>
              </w:rPr>
              <w:t>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b/>
                <w:szCs w:val="21"/>
                <w:highlight w:val="none"/>
              </w:rPr>
            </w:pPr>
          </w:p>
        </w:tc>
        <w:tc>
          <w:tcPr>
            <w:tcW w:w="1240" w:type="dxa"/>
            <w:vMerge w:val="restart"/>
            <w:vAlign w:val="center"/>
          </w:tcPr>
          <w:p>
            <w:pPr>
              <w:tabs>
                <w:tab w:val="left" w:pos="540"/>
              </w:tabs>
              <w:ind w:left="-132" w:leftChars="-64" w:right="-105" w:rightChars="-50" w:hanging="2"/>
              <w:jc w:val="center"/>
              <w:rPr>
                <w:szCs w:val="21"/>
                <w:highlight w:val="none"/>
              </w:rPr>
            </w:pPr>
            <w:r>
              <w:rPr>
                <w:rFonts w:hint="eastAsia"/>
                <w:szCs w:val="21"/>
                <w:highlight w:val="none"/>
              </w:rPr>
              <w:t>资产情况</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净资产</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万元</w:t>
            </w:r>
          </w:p>
        </w:tc>
        <w:tc>
          <w:tcPr>
            <w:tcW w:w="3780" w:type="dxa"/>
            <w:gridSpan w:val="5"/>
            <w:vAlign w:val="center"/>
          </w:tcPr>
          <w:p>
            <w:pPr>
              <w:tabs>
                <w:tab w:val="left" w:pos="540"/>
              </w:tabs>
              <w:ind w:left="-132" w:leftChars="-64" w:right="-105" w:rightChars="-50" w:hanging="2"/>
              <w:jc w:val="center"/>
              <w:rPr>
                <w:szCs w:val="21"/>
                <w:highlight w:val="none"/>
              </w:rPr>
            </w:pPr>
            <w:r>
              <w:rPr>
                <w:rFonts w:hint="eastAsia"/>
                <w:szCs w:val="21"/>
                <w:highlight w:val="none"/>
              </w:rPr>
              <w:t>固定资产原值           万元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b/>
                <w:szCs w:val="21"/>
                <w:highlight w:val="none"/>
              </w:rPr>
            </w:pPr>
          </w:p>
        </w:tc>
        <w:tc>
          <w:tcPr>
            <w:tcW w:w="1240" w:type="dxa"/>
            <w:vMerge w:val="continue"/>
            <w:vAlign w:val="center"/>
          </w:tcPr>
          <w:p>
            <w:pPr>
              <w:tabs>
                <w:tab w:val="left" w:pos="540"/>
              </w:tabs>
              <w:ind w:left="-132" w:leftChars="-64" w:right="-105" w:rightChars="-50" w:hanging="2"/>
              <w:jc w:val="center"/>
              <w:rPr>
                <w:szCs w:val="21"/>
                <w:highlight w:val="none"/>
              </w:rPr>
            </w:pP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负债</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万元</w:t>
            </w:r>
          </w:p>
        </w:tc>
        <w:tc>
          <w:tcPr>
            <w:tcW w:w="3780" w:type="dxa"/>
            <w:gridSpan w:val="5"/>
            <w:vAlign w:val="center"/>
          </w:tcPr>
          <w:p>
            <w:pPr>
              <w:tabs>
                <w:tab w:val="left" w:pos="540"/>
              </w:tabs>
              <w:ind w:left="-132" w:leftChars="-64" w:right="-105" w:rightChars="-50" w:hanging="2"/>
              <w:jc w:val="center"/>
              <w:rPr>
                <w:szCs w:val="21"/>
                <w:highlight w:val="none"/>
              </w:rPr>
            </w:pPr>
            <w:r>
              <w:rPr>
                <w:rFonts w:hint="eastAsia"/>
                <w:szCs w:val="21"/>
                <w:highlight w:val="none"/>
              </w:rPr>
              <w:t>固定资产净值           万元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restart"/>
            <w:vAlign w:val="center"/>
          </w:tcPr>
          <w:p>
            <w:pPr>
              <w:tabs>
                <w:tab w:val="left" w:pos="540"/>
              </w:tabs>
              <w:ind w:left="-132" w:leftChars="-64" w:right="-105" w:rightChars="-50" w:hanging="2"/>
              <w:jc w:val="center"/>
              <w:rPr>
                <w:b/>
                <w:szCs w:val="21"/>
                <w:highlight w:val="none"/>
              </w:rPr>
            </w:pPr>
            <w:r>
              <w:rPr>
                <w:rFonts w:hint="eastAsia"/>
                <w:b/>
                <w:szCs w:val="21"/>
                <w:highlight w:val="none"/>
              </w:rPr>
              <w:t>财务状况</w:t>
            </w:r>
          </w:p>
        </w:tc>
        <w:tc>
          <w:tcPr>
            <w:tcW w:w="1240" w:type="dxa"/>
            <w:vAlign w:val="center"/>
          </w:tcPr>
          <w:p>
            <w:pPr>
              <w:tabs>
                <w:tab w:val="left" w:pos="540"/>
              </w:tabs>
              <w:ind w:left="-132" w:leftChars="-64" w:right="-105" w:rightChars="-50" w:hanging="2"/>
              <w:jc w:val="center"/>
              <w:rPr>
                <w:szCs w:val="21"/>
                <w:highlight w:val="none"/>
              </w:rPr>
            </w:pPr>
            <w:r>
              <w:rPr>
                <w:rFonts w:hint="eastAsia"/>
                <w:szCs w:val="21"/>
                <w:highlight w:val="none"/>
              </w:rPr>
              <w:t>年度</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主营收入</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收入总额</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26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利润总额</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08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净利润</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440" w:type="dxa"/>
            <w:vAlign w:val="center"/>
          </w:tcPr>
          <w:p>
            <w:pPr>
              <w:tabs>
                <w:tab w:val="left" w:pos="540"/>
              </w:tabs>
              <w:ind w:left="-132" w:leftChars="-64" w:right="-105" w:rightChars="-50" w:hanging="2"/>
              <w:jc w:val="center"/>
              <w:rPr>
                <w:szCs w:val="21"/>
                <w:highlight w:val="none"/>
              </w:rPr>
            </w:pPr>
            <w:r>
              <w:rPr>
                <w:rFonts w:hint="eastAsia"/>
                <w:szCs w:val="21"/>
                <w:highlight w:val="none"/>
              </w:rPr>
              <w:t>资产负债率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szCs w:val="21"/>
                <w:highlight w:val="none"/>
              </w:rPr>
            </w:pPr>
          </w:p>
        </w:tc>
        <w:tc>
          <w:tcPr>
            <w:tcW w:w="1240" w:type="dxa"/>
          </w:tcPr>
          <w:p>
            <w:pPr>
              <w:tabs>
                <w:tab w:val="left" w:pos="540"/>
              </w:tabs>
              <w:ind w:left="-132" w:leftChars="-64" w:right="-105" w:rightChars="-50" w:hanging="2"/>
              <w:jc w:val="center"/>
              <w:rPr>
                <w:szCs w:val="21"/>
                <w:highlight w:val="none"/>
              </w:rPr>
            </w:pPr>
          </w:p>
        </w:tc>
        <w:tc>
          <w:tcPr>
            <w:tcW w:w="1460" w:type="dxa"/>
          </w:tcPr>
          <w:p>
            <w:pPr>
              <w:tabs>
                <w:tab w:val="left" w:pos="540"/>
              </w:tabs>
              <w:ind w:left="-132" w:leftChars="-64" w:right="-105" w:rightChars="-50" w:hanging="2"/>
              <w:jc w:val="center"/>
              <w:rPr>
                <w:szCs w:val="21"/>
                <w:highlight w:val="none"/>
              </w:rPr>
            </w:pPr>
          </w:p>
        </w:tc>
        <w:tc>
          <w:tcPr>
            <w:tcW w:w="1620" w:type="dxa"/>
            <w:gridSpan w:val="2"/>
          </w:tcPr>
          <w:p>
            <w:pPr>
              <w:tabs>
                <w:tab w:val="left" w:pos="540"/>
              </w:tabs>
              <w:ind w:left="-132" w:leftChars="-64" w:right="-105" w:rightChars="-50" w:hanging="2"/>
              <w:jc w:val="center"/>
              <w:rPr>
                <w:szCs w:val="21"/>
                <w:highlight w:val="none"/>
              </w:rPr>
            </w:pPr>
          </w:p>
        </w:tc>
        <w:tc>
          <w:tcPr>
            <w:tcW w:w="1260" w:type="dxa"/>
            <w:gridSpan w:val="2"/>
          </w:tcPr>
          <w:p>
            <w:pPr>
              <w:tabs>
                <w:tab w:val="left" w:pos="540"/>
              </w:tabs>
              <w:ind w:left="-132" w:leftChars="-64" w:right="-105" w:rightChars="-50" w:hanging="2"/>
              <w:jc w:val="center"/>
              <w:rPr>
                <w:szCs w:val="21"/>
                <w:highlight w:val="none"/>
              </w:rPr>
            </w:pPr>
          </w:p>
        </w:tc>
        <w:tc>
          <w:tcPr>
            <w:tcW w:w="1080" w:type="dxa"/>
            <w:gridSpan w:val="2"/>
          </w:tcPr>
          <w:p>
            <w:pPr>
              <w:tabs>
                <w:tab w:val="left" w:pos="540"/>
              </w:tabs>
              <w:ind w:left="-132" w:leftChars="-64" w:right="-105" w:rightChars="-50" w:hanging="2"/>
              <w:jc w:val="center"/>
              <w:rPr>
                <w:szCs w:val="21"/>
                <w:highlight w:val="none"/>
              </w:rPr>
            </w:pPr>
          </w:p>
        </w:tc>
        <w:tc>
          <w:tcPr>
            <w:tcW w:w="1440" w:type="dxa"/>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szCs w:val="21"/>
                <w:highlight w:val="none"/>
              </w:rPr>
            </w:pPr>
          </w:p>
        </w:tc>
        <w:tc>
          <w:tcPr>
            <w:tcW w:w="1240" w:type="dxa"/>
          </w:tcPr>
          <w:p>
            <w:pPr>
              <w:tabs>
                <w:tab w:val="left" w:pos="540"/>
              </w:tabs>
              <w:ind w:left="-132" w:leftChars="-64" w:right="-105" w:rightChars="-50" w:hanging="2"/>
              <w:jc w:val="center"/>
              <w:rPr>
                <w:szCs w:val="21"/>
                <w:highlight w:val="none"/>
              </w:rPr>
            </w:pPr>
          </w:p>
        </w:tc>
        <w:tc>
          <w:tcPr>
            <w:tcW w:w="1460" w:type="dxa"/>
          </w:tcPr>
          <w:p>
            <w:pPr>
              <w:tabs>
                <w:tab w:val="left" w:pos="540"/>
              </w:tabs>
              <w:ind w:left="-132" w:leftChars="-64" w:right="-105" w:rightChars="-50" w:hanging="2"/>
              <w:jc w:val="center"/>
              <w:rPr>
                <w:szCs w:val="21"/>
                <w:highlight w:val="none"/>
              </w:rPr>
            </w:pPr>
          </w:p>
        </w:tc>
        <w:tc>
          <w:tcPr>
            <w:tcW w:w="1620" w:type="dxa"/>
            <w:gridSpan w:val="2"/>
          </w:tcPr>
          <w:p>
            <w:pPr>
              <w:tabs>
                <w:tab w:val="left" w:pos="540"/>
              </w:tabs>
              <w:ind w:left="-132" w:leftChars="-64" w:right="-105" w:rightChars="-50" w:hanging="2"/>
              <w:jc w:val="center"/>
              <w:rPr>
                <w:szCs w:val="21"/>
                <w:highlight w:val="none"/>
              </w:rPr>
            </w:pPr>
          </w:p>
        </w:tc>
        <w:tc>
          <w:tcPr>
            <w:tcW w:w="1260" w:type="dxa"/>
            <w:gridSpan w:val="2"/>
          </w:tcPr>
          <w:p>
            <w:pPr>
              <w:tabs>
                <w:tab w:val="left" w:pos="540"/>
              </w:tabs>
              <w:ind w:left="-132" w:leftChars="-64" w:right="-105" w:rightChars="-50" w:hanging="2"/>
              <w:jc w:val="center"/>
              <w:rPr>
                <w:szCs w:val="21"/>
                <w:highlight w:val="none"/>
              </w:rPr>
            </w:pPr>
          </w:p>
        </w:tc>
        <w:tc>
          <w:tcPr>
            <w:tcW w:w="1080" w:type="dxa"/>
            <w:gridSpan w:val="2"/>
          </w:tcPr>
          <w:p>
            <w:pPr>
              <w:tabs>
                <w:tab w:val="left" w:pos="540"/>
              </w:tabs>
              <w:ind w:left="-132" w:leftChars="-64" w:right="-105" w:rightChars="-50" w:hanging="2"/>
              <w:jc w:val="center"/>
              <w:rPr>
                <w:szCs w:val="21"/>
                <w:highlight w:val="none"/>
              </w:rPr>
            </w:pPr>
          </w:p>
        </w:tc>
        <w:tc>
          <w:tcPr>
            <w:tcW w:w="1440" w:type="dxa"/>
          </w:tcPr>
          <w:p>
            <w:pPr>
              <w:tabs>
                <w:tab w:val="left" w:pos="540"/>
              </w:tabs>
              <w:ind w:left="-132" w:leftChars="-64" w:right="-105" w:rightChars="-50" w:hanging="2"/>
              <w:jc w:val="center"/>
              <w:rPr>
                <w:szCs w:val="21"/>
                <w:highlight w:val="none"/>
              </w:rPr>
            </w:pPr>
          </w:p>
        </w:tc>
      </w:tr>
    </w:tbl>
    <w:p>
      <w:pPr>
        <w:spacing w:line="360" w:lineRule="auto"/>
        <w:ind w:left="106"/>
        <w:rPr>
          <w:szCs w:val="21"/>
          <w:highlight w:val="none"/>
        </w:rPr>
      </w:pPr>
      <w:r>
        <w:rPr>
          <w:szCs w:val="21"/>
          <w:highlight w:val="none"/>
        </w:rPr>
        <w:t>注：1）文字描述：单位性质、发展历程、经营规模及理念、主营产品、技术力量等。</w:t>
      </w:r>
    </w:p>
    <w:p>
      <w:pPr>
        <w:spacing w:line="360" w:lineRule="auto"/>
        <w:ind w:left="105" w:leftChars="50" w:firstLine="420" w:firstLineChars="200"/>
        <w:rPr>
          <w:szCs w:val="21"/>
          <w:highlight w:val="none"/>
        </w:rPr>
      </w:pPr>
      <w:r>
        <w:rPr>
          <w:szCs w:val="21"/>
          <w:highlight w:val="none"/>
        </w:rPr>
        <w:t>2) 图片描述：经营场所、主要或关键产品介绍、生产场所及工艺流程等。</w:t>
      </w:r>
    </w:p>
    <w:p>
      <w:pPr>
        <w:tabs>
          <w:tab w:val="left" w:pos="540"/>
        </w:tabs>
        <w:spacing w:line="360" w:lineRule="auto"/>
        <w:ind w:left="105" w:leftChars="50" w:firstLine="420" w:firstLineChars="200"/>
        <w:rPr>
          <w:szCs w:val="21"/>
          <w:highlight w:val="none"/>
        </w:rPr>
      </w:pPr>
      <w:r>
        <w:rPr>
          <w:szCs w:val="21"/>
          <w:highlight w:val="none"/>
        </w:rPr>
        <w:t>3) 如</w:t>
      </w:r>
      <w:r>
        <w:rPr>
          <w:rFonts w:hint="eastAsia" w:ascii="宋体" w:hAnsi="宋体"/>
          <w:szCs w:val="21"/>
          <w:highlight w:val="none"/>
        </w:rPr>
        <w:t>供应商</w:t>
      </w:r>
      <w:r>
        <w:rPr>
          <w:szCs w:val="21"/>
          <w:highlight w:val="none"/>
        </w:rPr>
        <w:t>此表数据有虚假，一经查实，自行承担相关责任。</w:t>
      </w:r>
    </w:p>
    <w:p>
      <w:pPr>
        <w:tabs>
          <w:tab w:val="left" w:pos="540"/>
        </w:tabs>
        <w:spacing w:line="360" w:lineRule="auto"/>
        <w:ind w:left="105" w:leftChars="50" w:firstLine="420" w:firstLineChars="200"/>
        <w:rPr>
          <w:rFonts w:ascii="宋体" w:hAnsi="宋体" w:cs="Arial"/>
          <w:b/>
          <w:bCs/>
          <w:highlight w:val="none"/>
        </w:rPr>
      </w:pPr>
      <w:r>
        <w:rPr>
          <w:rFonts w:hint="eastAsia"/>
          <w:szCs w:val="21"/>
          <w:highlight w:val="none"/>
        </w:rPr>
        <w:t>4）</w:t>
      </w:r>
      <w:r>
        <w:rPr>
          <w:rFonts w:hint="eastAsia" w:ascii="宋体" w:hAnsi="宋体" w:cs="Arial"/>
          <w:b/>
          <w:bCs/>
          <w:highlight w:val="none"/>
        </w:rPr>
        <w:t>随本表格附交最新营业执照副本的复印件须加盖公章。</w:t>
      </w:r>
    </w:p>
    <w:p>
      <w:pPr>
        <w:tabs>
          <w:tab w:val="left" w:pos="540"/>
        </w:tabs>
        <w:spacing w:line="360" w:lineRule="auto"/>
        <w:ind w:left="105" w:leftChars="50" w:firstLine="420" w:firstLineChars="200"/>
        <w:rPr>
          <w:rFonts w:ascii="宋体" w:hAnsi="宋体"/>
          <w:b/>
          <w:bCs/>
          <w:highlight w:val="none"/>
        </w:rPr>
      </w:pPr>
      <w:r>
        <w:rPr>
          <w:rFonts w:hint="eastAsia"/>
          <w:szCs w:val="21"/>
          <w:highlight w:val="none"/>
        </w:rPr>
        <w:t>5）</w:t>
      </w:r>
      <w:r>
        <w:rPr>
          <w:rFonts w:hint="eastAsia" w:ascii="宋体" w:hAnsi="宋体"/>
          <w:b/>
          <w:bCs/>
          <w:highlight w:val="none"/>
        </w:rPr>
        <w:t>请供应商在响应文件中提供财务报表以便验证。</w:t>
      </w:r>
    </w:p>
    <w:p>
      <w:pPr>
        <w:tabs>
          <w:tab w:val="left" w:pos="540"/>
        </w:tabs>
        <w:spacing w:line="360" w:lineRule="auto"/>
        <w:rPr>
          <w:rFonts w:ascii="宋体" w:hAnsi="宋体"/>
          <w:b/>
          <w:bCs/>
          <w:highlight w:val="none"/>
        </w:rPr>
      </w:pPr>
    </w:p>
    <w:p>
      <w:pPr>
        <w:numPr>
          <w:ilvl w:val="0"/>
          <w:numId w:val="22"/>
        </w:numPr>
        <w:tabs>
          <w:tab w:val="left" w:pos="530"/>
          <w:tab w:val="clear" w:pos="720"/>
        </w:tabs>
        <w:spacing w:line="360" w:lineRule="auto"/>
        <w:ind w:left="530" w:hanging="530"/>
        <w:rPr>
          <w:rFonts w:ascii="宋体" w:hAnsi="宋体"/>
          <w:b/>
          <w:bCs/>
          <w:highlight w:val="none"/>
        </w:rPr>
      </w:pPr>
      <w:r>
        <w:rPr>
          <w:rFonts w:hint="eastAsia" w:ascii="宋体" w:hAnsi="宋体"/>
          <w:b/>
          <w:bCs/>
          <w:szCs w:val="21"/>
          <w:highlight w:val="none"/>
        </w:rPr>
        <w:t>供</w:t>
      </w:r>
      <w:r>
        <w:rPr>
          <w:rFonts w:hint="eastAsia" w:ascii="宋体" w:hAnsi="宋体"/>
          <w:b/>
          <w:bCs/>
          <w:highlight w:val="none"/>
        </w:rPr>
        <w:t>应商资格条件证明文件</w:t>
      </w:r>
    </w:p>
    <w:p>
      <w:pPr>
        <w:tabs>
          <w:tab w:val="left" w:pos="540"/>
        </w:tabs>
        <w:spacing w:line="360" w:lineRule="auto"/>
        <w:ind w:left="105" w:leftChars="50" w:firstLine="420" w:firstLineChars="200"/>
        <w:rPr>
          <w:rFonts w:ascii="宋体" w:hAnsi="宋体"/>
          <w:b/>
          <w:szCs w:val="21"/>
          <w:highlight w:val="none"/>
        </w:rPr>
      </w:pPr>
      <w:r>
        <w:rPr>
          <w:rFonts w:hint="eastAsia" w:ascii="宋体" w:hAnsi="宋体"/>
          <w:szCs w:val="21"/>
          <w:highlight w:val="none"/>
        </w:rPr>
        <w:t>供应商</w:t>
      </w:r>
      <w:r>
        <w:rPr>
          <w:rFonts w:hint="eastAsia"/>
          <w:szCs w:val="21"/>
          <w:highlight w:val="none"/>
        </w:rPr>
        <w:t>必须按照本竞争性磋商文件《竞争性</w:t>
      </w:r>
      <w:r>
        <w:rPr>
          <w:rFonts w:hint="eastAsia"/>
          <w:highlight w:val="none"/>
        </w:rPr>
        <w:t>磋商邀请函</w:t>
      </w:r>
      <w:r>
        <w:rPr>
          <w:rFonts w:hint="eastAsia"/>
          <w:szCs w:val="21"/>
          <w:highlight w:val="none"/>
        </w:rPr>
        <w:t>》的“</w:t>
      </w:r>
      <w:r>
        <w:rPr>
          <w:rFonts w:hint="eastAsia" w:ascii="宋体" w:hAnsi="宋体"/>
          <w:b/>
          <w:szCs w:val="21"/>
          <w:highlight w:val="none"/>
        </w:rPr>
        <w:t>合格</w:t>
      </w:r>
      <w:r>
        <w:rPr>
          <w:rFonts w:hint="eastAsia" w:ascii="宋体" w:hAnsi="宋体"/>
          <w:b/>
          <w:bCs/>
          <w:szCs w:val="21"/>
          <w:highlight w:val="none"/>
        </w:rPr>
        <w:t>供应商</w:t>
      </w:r>
      <w:r>
        <w:rPr>
          <w:rFonts w:hint="eastAsia" w:ascii="宋体" w:hAnsi="宋体"/>
          <w:b/>
          <w:szCs w:val="21"/>
          <w:highlight w:val="none"/>
        </w:rPr>
        <w:t>资格条件”要求提供相关证明文件复印件（加盖公章）。</w:t>
      </w:r>
    </w:p>
    <w:p>
      <w:pPr>
        <w:tabs>
          <w:tab w:val="left" w:pos="540"/>
        </w:tabs>
        <w:spacing w:line="360" w:lineRule="auto"/>
        <w:rPr>
          <w:rFonts w:ascii="宋体" w:hAnsi="宋体"/>
          <w:b/>
          <w:bCs/>
          <w:highlight w:val="none"/>
        </w:rPr>
      </w:pPr>
    </w:p>
    <w:p>
      <w:pPr>
        <w:tabs>
          <w:tab w:val="left" w:pos="540"/>
        </w:tabs>
        <w:spacing w:line="360" w:lineRule="auto"/>
        <w:rPr>
          <w:rFonts w:ascii="宋体" w:hAnsi="宋体"/>
          <w:b/>
          <w:bCs/>
          <w:highlight w:val="none"/>
        </w:rPr>
      </w:pPr>
    </w:p>
    <w:p>
      <w:pPr>
        <w:tabs>
          <w:tab w:val="left" w:pos="540"/>
        </w:tabs>
        <w:spacing w:line="360" w:lineRule="auto"/>
        <w:rPr>
          <w:rFonts w:ascii="宋体" w:hAnsi="宋体"/>
          <w:b/>
          <w:bCs/>
          <w:highlight w:val="none"/>
        </w:rPr>
      </w:pPr>
    </w:p>
    <w:p>
      <w:pPr>
        <w:numPr>
          <w:ilvl w:val="0"/>
          <w:numId w:val="22"/>
        </w:numPr>
        <w:tabs>
          <w:tab w:val="left" w:pos="530"/>
          <w:tab w:val="clear" w:pos="720"/>
        </w:tabs>
        <w:spacing w:line="360" w:lineRule="auto"/>
        <w:ind w:left="530" w:hanging="530"/>
        <w:rPr>
          <w:b/>
          <w:szCs w:val="21"/>
          <w:highlight w:val="none"/>
        </w:rPr>
      </w:pPr>
      <w:r>
        <w:rPr>
          <w:rFonts w:hint="eastAsia" w:ascii="宋体" w:hAnsi="宋体" w:cs="Arial"/>
          <w:b/>
          <w:highlight w:val="none"/>
        </w:rPr>
        <w:t>供应商各类资质证书</w:t>
      </w:r>
    </w:p>
    <w:tbl>
      <w:tblPr>
        <w:tblStyle w:val="41"/>
        <w:tblW w:w="8568" w:type="dxa"/>
        <w:tblInd w:w="53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21"/>
        <w:gridCol w:w="2421"/>
        <w:gridCol w:w="1926"/>
        <w:gridCol w:w="180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0" w:hRule="atLeast"/>
          <w:tblHeader/>
        </w:trPr>
        <w:tc>
          <w:tcPr>
            <w:tcW w:w="2421"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证书名称</w:t>
            </w:r>
          </w:p>
        </w:tc>
        <w:tc>
          <w:tcPr>
            <w:tcW w:w="2421"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发证单位</w:t>
            </w:r>
          </w:p>
        </w:tc>
        <w:tc>
          <w:tcPr>
            <w:tcW w:w="1926"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证书等级</w:t>
            </w:r>
          </w:p>
        </w:tc>
        <w:tc>
          <w:tcPr>
            <w:tcW w:w="1800"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证书</w:t>
            </w:r>
            <w:r>
              <w:rPr>
                <w:rFonts w:hint="eastAsia" w:ascii="宋体" w:hAnsi="宋体"/>
                <w:b/>
                <w:highlight w:val="none"/>
              </w:rPr>
              <w:t>有效</w:t>
            </w:r>
            <w:r>
              <w:rPr>
                <w:rFonts w:ascii="宋体" w:hAnsi="宋体"/>
                <w:b/>
                <w:highlight w:val="none"/>
              </w:rPr>
              <w:t>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421" w:type="dxa"/>
            <w:tcBorders>
              <w:top w:val="single" w:color="auto" w:sz="6" w:space="0"/>
            </w:tcBorders>
          </w:tcPr>
          <w:p>
            <w:pPr>
              <w:spacing w:before="156" w:after="156" w:line="400" w:lineRule="exact"/>
              <w:rPr>
                <w:rFonts w:ascii="宋体" w:hAnsi="宋体"/>
                <w:highlight w:val="none"/>
              </w:rPr>
            </w:pPr>
          </w:p>
        </w:tc>
        <w:tc>
          <w:tcPr>
            <w:tcW w:w="2421" w:type="dxa"/>
            <w:tcBorders>
              <w:top w:val="single" w:color="auto" w:sz="6" w:space="0"/>
            </w:tcBorders>
          </w:tcPr>
          <w:p>
            <w:pPr>
              <w:spacing w:before="156" w:after="156" w:line="400" w:lineRule="exact"/>
              <w:rPr>
                <w:rFonts w:ascii="宋体" w:hAnsi="宋体"/>
                <w:highlight w:val="none"/>
              </w:rPr>
            </w:pPr>
            <w:r>
              <w:rPr>
                <w:rFonts w:hint="eastAsia" w:ascii="宋体" w:hAnsi="宋体"/>
                <w:highlight w:val="none"/>
              </w:rPr>
              <w:t>（此表可延长）</w:t>
            </w:r>
          </w:p>
        </w:tc>
        <w:tc>
          <w:tcPr>
            <w:tcW w:w="1926" w:type="dxa"/>
            <w:tcBorders>
              <w:top w:val="single" w:color="auto" w:sz="6" w:space="0"/>
            </w:tcBorders>
          </w:tcPr>
          <w:p>
            <w:pPr>
              <w:spacing w:before="156" w:after="156" w:line="400" w:lineRule="exact"/>
              <w:rPr>
                <w:rFonts w:ascii="宋体" w:hAnsi="宋体"/>
                <w:highlight w:val="none"/>
              </w:rPr>
            </w:pPr>
          </w:p>
        </w:tc>
        <w:tc>
          <w:tcPr>
            <w:tcW w:w="1800" w:type="dxa"/>
            <w:tcBorders>
              <w:top w:val="single" w:color="auto" w:sz="6" w:space="0"/>
            </w:tcBorders>
          </w:tcPr>
          <w:p>
            <w:pPr>
              <w:spacing w:before="156" w:after="156" w:line="400" w:lineRule="exact"/>
              <w:rPr>
                <w:rFonts w:ascii="宋体" w:hAnsi="宋体"/>
                <w:highlight w:val="none"/>
              </w:rPr>
            </w:pPr>
          </w:p>
        </w:tc>
      </w:tr>
    </w:tbl>
    <w:p>
      <w:pPr>
        <w:spacing w:line="360" w:lineRule="auto"/>
        <w:rPr>
          <w:szCs w:val="21"/>
          <w:highlight w:val="none"/>
        </w:rPr>
      </w:pPr>
    </w:p>
    <w:p>
      <w:pPr>
        <w:rPr>
          <w:rFonts w:ascii="宋体" w:hAnsi="宋体"/>
          <w:highlight w:val="none"/>
        </w:rPr>
      </w:pPr>
    </w:p>
    <w:p>
      <w:pPr>
        <w:rPr>
          <w:rFonts w:ascii="宋体" w:hAnsi="宋体"/>
          <w:highlight w:val="none"/>
        </w:rPr>
      </w:pPr>
    </w:p>
    <w:p>
      <w:pPr>
        <w:rPr>
          <w:rFonts w:ascii="宋体" w:hAnsi="宋体"/>
          <w:highlight w:val="none"/>
        </w:rPr>
      </w:pPr>
    </w:p>
    <w:p>
      <w:pPr>
        <w:rPr>
          <w:rFonts w:ascii="宋体" w:hAnsi="宋体"/>
          <w:highlight w:val="none"/>
        </w:rPr>
      </w:pPr>
    </w:p>
    <w:p>
      <w:pPr>
        <w:rPr>
          <w:rFonts w:ascii="宋体" w:hAnsi="宋体"/>
          <w:highlight w:val="none"/>
        </w:rPr>
      </w:pPr>
      <w:r>
        <w:rPr>
          <w:rFonts w:hint="eastAsia" w:ascii="宋体" w:hAnsi="宋体"/>
          <w:szCs w:val="21"/>
          <w:highlight w:val="none"/>
        </w:rPr>
        <w:t>供应商</w:t>
      </w:r>
      <w:r>
        <w:rPr>
          <w:rFonts w:hint="eastAsia" w:ascii="宋体" w:hAnsi="宋体"/>
          <w:highlight w:val="none"/>
        </w:rPr>
        <w:t xml:space="preserve">名称（加盖公章）： </w:t>
      </w:r>
    </w:p>
    <w:p>
      <w:pPr>
        <w:rPr>
          <w:rFonts w:ascii="宋体" w:hAnsi="宋体" w:cs="Arial"/>
          <w:highlight w:val="none"/>
        </w:rPr>
      </w:pPr>
    </w:p>
    <w:p>
      <w:pPr>
        <w:rPr>
          <w:rFonts w:ascii="宋体" w:hAnsi="宋体"/>
          <w:highlight w:val="none"/>
        </w:rPr>
      </w:pPr>
      <w:r>
        <w:rPr>
          <w:rFonts w:hint="eastAsia" w:ascii="宋体" w:hAnsi="宋体"/>
          <w:szCs w:val="21"/>
          <w:highlight w:val="none"/>
        </w:rPr>
        <w:t>供应商</w:t>
      </w:r>
      <w:r>
        <w:rPr>
          <w:rFonts w:hint="eastAsia" w:ascii="宋体" w:hAnsi="宋体" w:cs="Arial"/>
          <w:highlight w:val="none"/>
        </w:rPr>
        <w:t>法定代表人或其委托人签字：</w:t>
      </w:r>
      <w:r>
        <w:rPr>
          <w:rFonts w:ascii="宋体" w:hAnsi="宋体"/>
          <w:highlight w:val="none"/>
        </w:rPr>
        <w:t xml:space="preserve"> _____________</w:t>
      </w:r>
    </w:p>
    <w:p>
      <w:pPr>
        <w:rPr>
          <w:rFonts w:ascii="宋体" w:hAnsi="宋体"/>
          <w:highlight w:val="none"/>
        </w:rPr>
      </w:pPr>
    </w:p>
    <w:p>
      <w:pPr>
        <w:rPr>
          <w:rFonts w:hint="eastAsia" w:ascii="宋体" w:hAnsi="宋体"/>
          <w:highlight w:val="none"/>
        </w:rPr>
      </w:pPr>
      <w:r>
        <w:rPr>
          <w:rFonts w:hint="eastAsia" w:ascii="宋体" w:hAnsi="宋体"/>
          <w:highlight w:val="none"/>
        </w:rPr>
        <w:t>日  期：</w:t>
      </w:r>
    </w:p>
    <w:p>
      <w:pPr>
        <w:rPr>
          <w:rFonts w:hint="eastAsia" w:ascii="宋体" w:hAnsi="宋体"/>
          <w:highlight w:val="none"/>
        </w:rPr>
      </w:pPr>
      <w:r>
        <w:rPr>
          <w:rFonts w:hint="eastAsia" w:ascii="宋体" w:hAnsi="宋体"/>
          <w:highlight w:val="none"/>
        </w:rPr>
        <w:br w:type="page"/>
      </w:r>
    </w:p>
    <w:p>
      <w:pPr>
        <w:rPr>
          <w:rFonts w:hint="eastAsia" w:ascii="宋体" w:hAnsi="宋体"/>
          <w:highlight w:val="none"/>
        </w:rPr>
      </w:pPr>
    </w:p>
    <w:p>
      <w:pPr>
        <w:rPr>
          <w:rFonts w:ascii="宋体" w:hAnsi="宋体"/>
          <w:highlight w:val="none"/>
        </w:rPr>
      </w:pPr>
    </w:p>
    <w:p>
      <w:pPr>
        <w:spacing w:line="500" w:lineRule="exact"/>
        <w:jc w:val="center"/>
        <w:rPr>
          <w:rFonts w:ascii="宋体" w:hAnsi="Arial"/>
          <w:b/>
          <w:sz w:val="28"/>
          <w:szCs w:val="28"/>
          <w:highlight w:val="none"/>
        </w:rPr>
      </w:pPr>
      <w:r>
        <w:rPr>
          <w:rFonts w:hint="eastAsia" w:ascii="宋体" w:hAnsi="Arial"/>
          <w:b/>
          <w:sz w:val="28"/>
          <w:szCs w:val="28"/>
          <w:highlight w:val="none"/>
        </w:rPr>
        <w:t>表5-11 供应商具有履行合同所必需的设备和专业技术能力情况</w:t>
      </w:r>
    </w:p>
    <w:p>
      <w:pPr>
        <w:spacing w:line="500" w:lineRule="exact"/>
        <w:jc w:val="center"/>
        <w:rPr>
          <w:rFonts w:ascii="宋体" w:hAnsi="Arial"/>
          <w:b/>
          <w:sz w:val="28"/>
          <w:szCs w:val="28"/>
          <w:highlight w:val="none"/>
        </w:rPr>
      </w:pPr>
    </w:p>
    <w:p>
      <w:pPr>
        <w:tabs>
          <w:tab w:val="left" w:pos="8248"/>
          <w:tab w:val="left" w:pos="9368"/>
        </w:tabs>
        <w:spacing w:line="360" w:lineRule="auto"/>
        <w:rPr>
          <w:rFonts w:ascii="宋体"/>
          <w:highlight w:val="none"/>
        </w:rPr>
      </w:pPr>
      <w:r>
        <w:rPr>
          <w:rFonts w:hint="eastAsia" w:ascii="宋体" w:hAnsi="宋体"/>
          <w:b/>
          <w:highlight w:val="none"/>
        </w:rPr>
        <w:t>一、设备情况</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60"/>
        <w:gridCol w:w="1866"/>
        <w:gridCol w:w="1897"/>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534" w:type="dxa"/>
            <w:vAlign w:val="center"/>
          </w:tcPr>
          <w:p>
            <w:pPr>
              <w:spacing w:line="360" w:lineRule="auto"/>
              <w:ind w:left="-111" w:leftChars="-53" w:right="-101" w:rightChars="-48"/>
              <w:jc w:val="center"/>
              <w:rPr>
                <w:rFonts w:ascii="宋体" w:hAnsi="宋体"/>
                <w:b/>
                <w:highlight w:val="none"/>
              </w:rPr>
            </w:pPr>
            <w:r>
              <w:rPr>
                <w:rFonts w:hint="eastAsia" w:ascii="宋体" w:hAnsi="宋体"/>
                <w:b/>
                <w:highlight w:val="none"/>
              </w:rPr>
              <w:t>序号</w:t>
            </w:r>
          </w:p>
        </w:tc>
        <w:tc>
          <w:tcPr>
            <w:tcW w:w="3160" w:type="dxa"/>
            <w:vAlign w:val="center"/>
          </w:tcPr>
          <w:p>
            <w:pPr>
              <w:spacing w:line="360" w:lineRule="auto"/>
              <w:jc w:val="center"/>
              <w:rPr>
                <w:rFonts w:ascii="宋体" w:hAnsi="宋体"/>
                <w:b/>
                <w:highlight w:val="none"/>
              </w:rPr>
            </w:pPr>
            <w:r>
              <w:rPr>
                <w:rFonts w:hint="eastAsia" w:ascii="宋体" w:hAnsi="宋体"/>
                <w:b/>
                <w:highlight w:val="none"/>
              </w:rPr>
              <w:t>设备名称</w:t>
            </w:r>
          </w:p>
        </w:tc>
        <w:tc>
          <w:tcPr>
            <w:tcW w:w="1866" w:type="dxa"/>
          </w:tcPr>
          <w:p>
            <w:pPr>
              <w:tabs>
                <w:tab w:val="left" w:pos="384"/>
              </w:tabs>
              <w:spacing w:line="360" w:lineRule="auto"/>
              <w:jc w:val="center"/>
              <w:rPr>
                <w:rFonts w:ascii="宋体" w:hAnsi="宋体"/>
                <w:b/>
                <w:highlight w:val="none"/>
              </w:rPr>
            </w:pPr>
            <w:r>
              <w:rPr>
                <w:rFonts w:hint="eastAsia" w:ascii="宋体" w:hAnsi="宋体"/>
                <w:b/>
                <w:highlight w:val="none"/>
              </w:rPr>
              <w:t>数量</w:t>
            </w:r>
          </w:p>
        </w:tc>
        <w:tc>
          <w:tcPr>
            <w:tcW w:w="1897" w:type="dxa"/>
            <w:vAlign w:val="center"/>
          </w:tcPr>
          <w:p>
            <w:pPr>
              <w:tabs>
                <w:tab w:val="left" w:pos="384"/>
              </w:tabs>
              <w:spacing w:line="360" w:lineRule="auto"/>
              <w:jc w:val="center"/>
              <w:rPr>
                <w:rFonts w:ascii="宋体" w:hAnsi="宋体"/>
                <w:b/>
                <w:highlight w:val="none"/>
              </w:rPr>
            </w:pPr>
            <w:r>
              <w:rPr>
                <w:rFonts w:hint="eastAsia" w:ascii="宋体" w:hAnsi="宋体"/>
                <w:b/>
                <w:highlight w:val="none"/>
              </w:rPr>
              <w:t>运行状况</w:t>
            </w:r>
          </w:p>
        </w:tc>
        <w:tc>
          <w:tcPr>
            <w:tcW w:w="1736" w:type="dxa"/>
            <w:vAlign w:val="center"/>
          </w:tcPr>
          <w:p>
            <w:pPr>
              <w:spacing w:line="360" w:lineRule="auto"/>
              <w:jc w:val="center"/>
              <w:rPr>
                <w:rFonts w:ascii="宋体" w:hAnsi="宋体"/>
                <w:b/>
                <w:highlight w:val="none"/>
              </w:rPr>
            </w:pPr>
            <w:r>
              <w:rPr>
                <w:rFonts w:hint="eastAsia" w:ascii="宋体" w:hAnsi="宋体"/>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34" w:type="dxa"/>
            <w:vAlign w:val="center"/>
          </w:tcPr>
          <w:p>
            <w:pPr>
              <w:widowControl w:val="0"/>
              <w:numPr>
                <w:ilvl w:val="0"/>
                <w:numId w:val="24"/>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34" w:type="dxa"/>
            <w:vAlign w:val="center"/>
          </w:tcPr>
          <w:p>
            <w:pPr>
              <w:widowControl w:val="0"/>
              <w:numPr>
                <w:ilvl w:val="0"/>
                <w:numId w:val="24"/>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34" w:type="dxa"/>
            <w:vAlign w:val="center"/>
          </w:tcPr>
          <w:p>
            <w:pPr>
              <w:widowControl w:val="0"/>
              <w:numPr>
                <w:ilvl w:val="0"/>
                <w:numId w:val="24"/>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534" w:type="dxa"/>
            <w:vAlign w:val="center"/>
          </w:tcPr>
          <w:p>
            <w:pPr>
              <w:widowControl w:val="0"/>
              <w:numPr>
                <w:ilvl w:val="0"/>
                <w:numId w:val="24"/>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4" w:type="dxa"/>
            <w:vAlign w:val="center"/>
          </w:tcPr>
          <w:p>
            <w:pPr>
              <w:widowControl w:val="0"/>
              <w:numPr>
                <w:ilvl w:val="0"/>
                <w:numId w:val="24"/>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4" w:type="dxa"/>
            <w:vAlign w:val="center"/>
          </w:tcPr>
          <w:p>
            <w:pPr>
              <w:widowControl w:val="0"/>
              <w:numPr>
                <w:ilvl w:val="0"/>
                <w:numId w:val="24"/>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4" w:type="dxa"/>
            <w:vAlign w:val="center"/>
          </w:tcPr>
          <w:p>
            <w:pPr>
              <w:widowControl w:val="0"/>
              <w:numPr>
                <w:ilvl w:val="0"/>
                <w:numId w:val="24"/>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bl>
    <w:p>
      <w:pPr>
        <w:autoSpaceDE w:val="0"/>
        <w:autoSpaceDN w:val="0"/>
        <w:adjustRightInd w:val="0"/>
        <w:spacing w:line="360" w:lineRule="auto"/>
        <w:rPr>
          <w:rFonts w:ascii="宋体" w:hAnsi="宋体"/>
          <w:b/>
          <w:bCs/>
          <w:szCs w:val="21"/>
          <w:highlight w:val="none"/>
        </w:rPr>
      </w:pPr>
    </w:p>
    <w:p>
      <w:pPr>
        <w:autoSpaceDE w:val="0"/>
        <w:autoSpaceDN w:val="0"/>
        <w:adjustRightInd w:val="0"/>
        <w:spacing w:line="360" w:lineRule="auto"/>
        <w:rPr>
          <w:rFonts w:ascii="宋体" w:hAnsi="宋体"/>
          <w:highlight w:val="none"/>
        </w:rPr>
      </w:pPr>
      <w:r>
        <w:rPr>
          <w:rFonts w:hint="eastAsia" w:ascii="宋体" w:hAnsi="宋体"/>
          <w:b/>
          <w:bCs/>
          <w:szCs w:val="21"/>
          <w:highlight w:val="none"/>
        </w:rPr>
        <w:t>二、专业技术能力情况：</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2152"/>
        <w:gridCol w:w="2922"/>
        <w:gridCol w:w="1844"/>
        <w:gridCol w:w="1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557" w:type="dxa"/>
            <w:vAlign w:val="center"/>
          </w:tcPr>
          <w:p>
            <w:pPr>
              <w:spacing w:line="360" w:lineRule="auto"/>
              <w:ind w:left="-111" w:leftChars="-53" w:right="-101" w:rightChars="-48"/>
              <w:jc w:val="center"/>
              <w:rPr>
                <w:rFonts w:ascii="宋体" w:hAnsi="宋体"/>
                <w:b/>
                <w:highlight w:val="none"/>
              </w:rPr>
            </w:pPr>
            <w:r>
              <w:rPr>
                <w:rFonts w:hint="eastAsia" w:ascii="宋体" w:hAnsi="宋体"/>
                <w:b/>
                <w:highlight w:val="none"/>
              </w:rPr>
              <w:t>序号</w:t>
            </w:r>
          </w:p>
        </w:tc>
        <w:tc>
          <w:tcPr>
            <w:tcW w:w="2152" w:type="dxa"/>
            <w:vAlign w:val="center"/>
          </w:tcPr>
          <w:p>
            <w:pPr>
              <w:spacing w:line="360" w:lineRule="auto"/>
              <w:jc w:val="center"/>
              <w:rPr>
                <w:rFonts w:ascii="宋体" w:hAnsi="宋体"/>
                <w:b/>
                <w:highlight w:val="none"/>
              </w:rPr>
            </w:pPr>
            <w:r>
              <w:rPr>
                <w:rFonts w:hint="eastAsia" w:ascii="宋体" w:hAnsi="宋体"/>
                <w:b/>
                <w:highlight w:val="none"/>
              </w:rPr>
              <w:t>人员姓名</w:t>
            </w:r>
          </w:p>
        </w:tc>
        <w:tc>
          <w:tcPr>
            <w:tcW w:w="2922" w:type="dxa"/>
            <w:vAlign w:val="center"/>
          </w:tcPr>
          <w:p>
            <w:pPr>
              <w:spacing w:line="360" w:lineRule="auto"/>
              <w:jc w:val="center"/>
              <w:rPr>
                <w:rFonts w:ascii="宋体" w:hAnsi="宋体"/>
                <w:b/>
                <w:highlight w:val="none"/>
              </w:rPr>
            </w:pPr>
            <w:r>
              <w:rPr>
                <w:rFonts w:hint="eastAsia" w:ascii="宋体" w:hAnsi="宋体"/>
                <w:b/>
                <w:highlight w:val="none"/>
              </w:rPr>
              <w:t>身份证号</w:t>
            </w:r>
          </w:p>
        </w:tc>
        <w:tc>
          <w:tcPr>
            <w:tcW w:w="1844" w:type="dxa"/>
            <w:vAlign w:val="center"/>
          </w:tcPr>
          <w:p>
            <w:pPr>
              <w:spacing w:line="360" w:lineRule="auto"/>
              <w:jc w:val="center"/>
              <w:rPr>
                <w:rFonts w:ascii="宋体" w:hAnsi="宋体"/>
                <w:b/>
                <w:highlight w:val="none"/>
              </w:rPr>
            </w:pPr>
            <w:r>
              <w:rPr>
                <w:rFonts w:hint="eastAsia" w:ascii="宋体" w:hAnsi="宋体"/>
                <w:b/>
                <w:highlight w:val="none"/>
              </w:rPr>
              <w:t>岗位</w:t>
            </w:r>
          </w:p>
        </w:tc>
        <w:tc>
          <w:tcPr>
            <w:tcW w:w="1689" w:type="dxa"/>
            <w:vAlign w:val="center"/>
          </w:tcPr>
          <w:p>
            <w:pPr>
              <w:spacing w:line="360" w:lineRule="auto"/>
              <w:jc w:val="center"/>
              <w:rPr>
                <w:rFonts w:ascii="宋体" w:hAnsi="宋体"/>
                <w:b/>
                <w:highlight w:val="none"/>
              </w:rPr>
            </w:pPr>
            <w:r>
              <w:rPr>
                <w:rFonts w:hint="eastAsia" w:ascii="宋体" w:hAnsi="宋体"/>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5"/>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5"/>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5"/>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5"/>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5"/>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bl>
    <w:p>
      <w:pPr>
        <w:spacing w:line="360" w:lineRule="auto"/>
        <w:ind w:firstLine="420" w:firstLineChars="200"/>
        <w:rPr>
          <w:szCs w:val="21"/>
          <w:highlight w:val="none"/>
        </w:rPr>
      </w:pPr>
    </w:p>
    <w:p>
      <w:pPr>
        <w:adjustRightInd w:val="0"/>
        <w:snapToGrid w:val="0"/>
        <w:spacing w:line="360" w:lineRule="auto"/>
        <w:ind w:firstLine="420" w:firstLineChars="200"/>
        <w:rPr>
          <w:rFonts w:ascii="宋体" w:hAnsi="宋体"/>
          <w:szCs w:val="21"/>
          <w:highlight w:val="none"/>
        </w:rPr>
      </w:pPr>
    </w:p>
    <w:p>
      <w:pPr>
        <w:adjustRightInd w:val="0"/>
        <w:snapToGrid w:val="0"/>
        <w:spacing w:line="360" w:lineRule="auto"/>
        <w:ind w:firstLine="420" w:firstLineChars="200"/>
        <w:rPr>
          <w:rFonts w:ascii="宋体" w:hAnsi="宋体"/>
          <w:szCs w:val="21"/>
          <w:highlight w:val="none"/>
        </w:rPr>
      </w:pPr>
    </w:p>
    <w:p>
      <w:pPr>
        <w:rPr>
          <w:rFonts w:ascii="宋体" w:hAnsi="宋体"/>
          <w:szCs w:val="21"/>
          <w:highlight w:val="none"/>
        </w:rPr>
      </w:pPr>
      <w:r>
        <w:rPr>
          <w:rFonts w:hint="eastAsia" w:ascii="宋体" w:hAnsi="宋体"/>
          <w:szCs w:val="21"/>
          <w:highlight w:val="none"/>
        </w:rPr>
        <w:t>供应商名称（加盖公章）：</w:t>
      </w:r>
    </w:p>
    <w:p>
      <w:pPr>
        <w:rPr>
          <w:rFonts w:ascii="Arial" w:hAnsi="Arial" w:cs="Arial"/>
          <w:szCs w:val="21"/>
          <w:highlight w:val="none"/>
        </w:rPr>
      </w:pPr>
    </w:p>
    <w:p>
      <w:pPr>
        <w:rPr>
          <w:rFonts w:ascii="Arial" w:hAnsi="Arial" w:cs="Arial"/>
          <w:szCs w:val="21"/>
          <w:highlight w:val="none"/>
        </w:rPr>
      </w:pPr>
    </w:p>
    <w:p>
      <w:pPr>
        <w:rPr>
          <w:rFonts w:ascii="宋体" w:hAnsi="宋体"/>
          <w:szCs w:val="21"/>
          <w:highlight w:val="none"/>
        </w:rPr>
      </w:pPr>
      <w:r>
        <w:rPr>
          <w:rFonts w:hint="eastAsia" w:ascii="宋体" w:hAnsi="宋体"/>
          <w:szCs w:val="21"/>
          <w:highlight w:val="none"/>
        </w:rPr>
        <w:t>供应商</w:t>
      </w:r>
      <w:r>
        <w:rPr>
          <w:rFonts w:hint="eastAsia" w:ascii="Arial" w:hAnsi="Arial" w:cs="Arial"/>
          <w:szCs w:val="21"/>
          <w:highlight w:val="none"/>
        </w:rPr>
        <w:t>法定代表人或其委托人签字：</w:t>
      </w:r>
      <w:r>
        <w:rPr>
          <w:rFonts w:ascii="宋体" w:hAnsi="宋体"/>
          <w:szCs w:val="21"/>
          <w:highlight w:val="none"/>
        </w:rPr>
        <w:t xml:space="preserve"> _____________</w:t>
      </w:r>
    </w:p>
    <w:p>
      <w:pPr>
        <w:rPr>
          <w:rFonts w:ascii="宋体" w:hAnsi="宋体"/>
          <w:szCs w:val="21"/>
          <w:highlight w:val="none"/>
        </w:rPr>
      </w:pPr>
    </w:p>
    <w:p>
      <w:pPr>
        <w:rPr>
          <w:rFonts w:ascii="宋体" w:hAnsi="宋体"/>
          <w:szCs w:val="21"/>
          <w:highlight w:val="none"/>
        </w:rPr>
      </w:pPr>
    </w:p>
    <w:p>
      <w:pPr>
        <w:rPr>
          <w:rFonts w:ascii="Arial" w:hAnsi="Arial" w:cs="Arial"/>
          <w:szCs w:val="21"/>
          <w:highlight w:val="none"/>
        </w:rPr>
      </w:pPr>
      <w:r>
        <w:rPr>
          <w:rFonts w:hint="eastAsia" w:ascii="Arial" w:hAnsi="Arial" w:cs="Arial"/>
          <w:szCs w:val="21"/>
          <w:highlight w:val="none"/>
        </w:rPr>
        <w:t>日  期：</w:t>
      </w:r>
    </w:p>
    <w:p>
      <w:pPr>
        <w:rPr>
          <w:rFonts w:ascii="宋体" w:hAnsi="宋体"/>
          <w:highlight w:val="none"/>
        </w:rPr>
      </w:pPr>
    </w:p>
    <w:p>
      <w:pPr>
        <w:rPr>
          <w:rFonts w:ascii="宋体" w:hAnsi="宋体"/>
          <w:highlight w:val="none"/>
        </w:rPr>
      </w:pPr>
    </w:p>
    <w:p>
      <w:pPr>
        <w:rPr>
          <w:rFonts w:ascii="宋体" w:hAnsi="宋体"/>
          <w:highlight w:val="none"/>
        </w:rPr>
      </w:pPr>
    </w:p>
    <w:p>
      <w:pPr>
        <w:rPr>
          <w:rFonts w:ascii="宋体" w:hAnsi="宋体"/>
          <w:highlight w:val="none"/>
        </w:rPr>
      </w:pPr>
    </w:p>
    <w:bookmarkEnd w:id="205"/>
    <w:bookmarkEnd w:id="206"/>
    <w:bookmarkEnd w:id="207"/>
    <w:bookmarkEnd w:id="208"/>
    <w:bookmarkEnd w:id="209"/>
    <w:bookmarkEnd w:id="210"/>
    <w:bookmarkEnd w:id="212"/>
    <w:bookmarkEnd w:id="213"/>
    <w:bookmarkEnd w:id="214"/>
    <w:bookmarkEnd w:id="215"/>
    <w:bookmarkEnd w:id="216"/>
    <w:bookmarkEnd w:id="217"/>
    <w:bookmarkEnd w:id="218"/>
    <w:p>
      <w:pPr>
        <w:pStyle w:val="4"/>
        <w:jc w:val="center"/>
        <w:rPr>
          <w:color w:val="auto"/>
          <w:highlight w:val="none"/>
        </w:rPr>
      </w:pPr>
      <w:bookmarkStart w:id="219" w:name="_Toc37486868"/>
      <w:bookmarkStart w:id="220" w:name="_Toc118799888"/>
      <w:bookmarkStart w:id="221" w:name="_Toc60212944"/>
      <w:bookmarkStart w:id="222" w:name="_Toc465353233"/>
      <w:bookmarkStart w:id="223" w:name="_Toc456949308"/>
      <w:bookmarkStart w:id="224" w:name="_Toc19826_WPSOffice_Level2"/>
      <w:bookmarkStart w:id="225" w:name="_Toc18643"/>
      <w:bookmarkStart w:id="226" w:name="_Toc30189"/>
      <w:r>
        <w:rPr>
          <w:rFonts w:hint="eastAsia"/>
          <w:color w:val="auto"/>
          <w:highlight w:val="none"/>
        </w:rPr>
        <w:br w:type="page"/>
      </w:r>
      <w:bookmarkStart w:id="227" w:name="_Toc20847"/>
      <w:r>
        <w:rPr>
          <w:rFonts w:hint="eastAsia"/>
          <w:color w:val="auto"/>
          <w:highlight w:val="none"/>
        </w:rPr>
        <w:t>表5-1</w:t>
      </w:r>
      <w:r>
        <w:rPr>
          <w:rFonts w:hint="eastAsia"/>
          <w:color w:val="auto"/>
          <w:highlight w:val="none"/>
          <w:lang w:val="en-US" w:eastAsia="zh-CN"/>
        </w:rPr>
        <w:t>2</w:t>
      </w:r>
      <w:r>
        <w:rPr>
          <w:rFonts w:hint="eastAsia"/>
          <w:color w:val="auto"/>
          <w:highlight w:val="none"/>
        </w:rPr>
        <w:t xml:space="preserve"> </w:t>
      </w:r>
      <w:bookmarkEnd w:id="219"/>
      <w:bookmarkEnd w:id="220"/>
      <w:bookmarkEnd w:id="221"/>
      <w:r>
        <w:rPr>
          <w:rFonts w:hint="eastAsia"/>
          <w:color w:val="auto"/>
          <w:highlight w:val="none"/>
        </w:rPr>
        <w:t>同类项目一览表</w:t>
      </w:r>
      <w:bookmarkEnd w:id="222"/>
      <w:bookmarkEnd w:id="223"/>
      <w:bookmarkEnd w:id="224"/>
      <w:bookmarkEnd w:id="225"/>
      <w:bookmarkEnd w:id="226"/>
      <w:bookmarkEnd w:id="227"/>
    </w:p>
    <w:p>
      <w:pPr>
        <w:spacing w:before="156" w:after="156" w:line="360" w:lineRule="auto"/>
        <w:rPr>
          <w:rFonts w:ascii="宋体" w:hAnsi="宋体"/>
          <w:highlight w:val="none"/>
        </w:rPr>
      </w:pPr>
      <w:r>
        <w:rPr>
          <w:rFonts w:hint="eastAsia" w:ascii="宋体" w:hAnsi="宋体" w:cs="Arial"/>
          <w:highlight w:val="none"/>
        </w:rPr>
        <w:t>项目编号：</w:t>
      </w:r>
      <w:r>
        <w:rPr>
          <w:rFonts w:hint="eastAsia" w:ascii="宋体" w:hAnsi="宋体" w:cs="Arial"/>
          <w:szCs w:val="21"/>
          <w:highlight w:val="none"/>
        </w:rPr>
        <w:t xml:space="preserve"> </w:t>
      </w:r>
    </w:p>
    <w:tbl>
      <w:tblPr>
        <w:tblStyle w:val="41"/>
        <w:tblW w:w="962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2"/>
        <w:gridCol w:w="1637"/>
        <w:gridCol w:w="1519"/>
        <w:gridCol w:w="1156"/>
        <w:gridCol w:w="1574"/>
        <w:gridCol w:w="1589"/>
        <w:gridCol w:w="158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562"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序号</w:t>
            </w:r>
          </w:p>
        </w:tc>
        <w:tc>
          <w:tcPr>
            <w:tcW w:w="1637"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项目名称</w:t>
            </w:r>
          </w:p>
        </w:tc>
        <w:tc>
          <w:tcPr>
            <w:tcW w:w="1519"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项目地址</w:t>
            </w:r>
          </w:p>
        </w:tc>
        <w:tc>
          <w:tcPr>
            <w:tcW w:w="1156"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合同内容</w:t>
            </w:r>
          </w:p>
        </w:tc>
        <w:tc>
          <w:tcPr>
            <w:tcW w:w="1574"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合同总价</w:t>
            </w:r>
          </w:p>
        </w:tc>
        <w:tc>
          <w:tcPr>
            <w:tcW w:w="1589"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质量情况</w:t>
            </w:r>
          </w:p>
        </w:tc>
        <w:tc>
          <w:tcPr>
            <w:tcW w:w="1588"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用户联系人及电话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Borders>
              <w:top w:val="single" w:color="auto" w:sz="6" w:space="0"/>
            </w:tcBorders>
          </w:tcPr>
          <w:p>
            <w:pPr>
              <w:spacing w:before="156" w:after="156" w:line="400" w:lineRule="exact"/>
              <w:rPr>
                <w:rFonts w:ascii="宋体" w:hAnsi="宋体"/>
                <w:highlight w:val="none"/>
              </w:rPr>
            </w:pPr>
          </w:p>
        </w:tc>
        <w:tc>
          <w:tcPr>
            <w:tcW w:w="1637" w:type="dxa"/>
            <w:tcBorders>
              <w:top w:val="single" w:color="auto" w:sz="6" w:space="0"/>
            </w:tcBorders>
          </w:tcPr>
          <w:p>
            <w:pPr>
              <w:spacing w:before="156" w:after="156" w:line="400" w:lineRule="exact"/>
              <w:rPr>
                <w:rFonts w:ascii="宋体" w:hAnsi="宋体"/>
                <w:highlight w:val="none"/>
              </w:rPr>
            </w:pPr>
          </w:p>
        </w:tc>
        <w:tc>
          <w:tcPr>
            <w:tcW w:w="1519" w:type="dxa"/>
            <w:tcBorders>
              <w:top w:val="single" w:color="auto" w:sz="6" w:space="0"/>
            </w:tcBorders>
          </w:tcPr>
          <w:p>
            <w:pPr>
              <w:spacing w:before="156" w:after="156" w:line="400" w:lineRule="exact"/>
              <w:rPr>
                <w:rFonts w:ascii="宋体" w:hAnsi="宋体"/>
                <w:highlight w:val="none"/>
              </w:rPr>
            </w:pPr>
          </w:p>
        </w:tc>
        <w:tc>
          <w:tcPr>
            <w:tcW w:w="1156" w:type="dxa"/>
            <w:tcBorders>
              <w:top w:val="single" w:color="auto" w:sz="6" w:space="0"/>
            </w:tcBorders>
          </w:tcPr>
          <w:p>
            <w:pPr>
              <w:spacing w:before="156" w:after="156" w:line="400" w:lineRule="exact"/>
              <w:rPr>
                <w:rFonts w:ascii="宋体" w:hAnsi="宋体"/>
                <w:highlight w:val="none"/>
              </w:rPr>
            </w:pPr>
          </w:p>
        </w:tc>
        <w:tc>
          <w:tcPr>
            <w:tcW w:w="1574" w:type="dxa"/>
            <w:tcBorders>
              <w:top w:val="single" w:color="auto" w:sz="6" w:space="0"/>
            </w:tcBorders>
          </w:tcPr>
          <w:p>
            <w:pPr>
              <w:spacing w:before="156" w:after="156" w:line="400" w:lineRule="exact"/>
              <w:rPr>
                <w:rFonts w:ascii="宋体" w:hAnsi="宋体"/>
                <w:highlight w:val="none"/>
              </w:rPr>
            </w:pPr>
          </w:p>
        </w:tc>
        <w:tc>
          <w:tcPr>
            <w:tcW w:w="1589" w:type="dxa"/>
            <w:tcBorders>
              <w:top w:val="single" w:color="auto" w:sz="6" w:space="0"/>
            </w:tcBorders>
          </w:tcPr>
          <w:p>
            <w:pPr>
              <w:spacing w:before="156" w:after="156" w:line="400" w:lineRule="exact"/>
              <w:rPr>
                <w:rFonts w:ascii="宋体" w:hAnsi="宋体"/>
                <w:highlight w:val="none"/>
              </w:rPr>
            </w:pPr>
          </w:p>
        </w:tc>
        <w:tc>
          <w:tcPr>
            <w:tcW w:w="1588" w:type="dxa"/>
            <w:tcBorders>
              <w:top w:val="single" w:color="auto" w:sz="6" w:space="0"/>
            </w:tcBorders>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0"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pStyle w:val="87"/>
              <w:spacing w:before="156" w:after="156" w:line="400" w:lineRule="exact"/>
              <w:rPr>
                <w:rFonts w:ascii="宋体" w:hAnsi="宋体"/>
                <w:spacing w:val="0"/>
                <w:kern w:val="2"/>
                <w:szCs w:val="24"/>
                <w:highlight w:val="none"/>
              </w:rPr>
            </w:pPr>
          </w:p>
        </w:tc>
        <w:tc>
          <w:tcPr>
            <w:tcW w:w="1156" w:type="dxa"/>
          </w:tcPr>
          <w:p>
            <w:pPr>
              <w:pStyle w:val="87"/>
              <w:spacing w:before="156" w:after="156" w:line="400" w:lineRule="exact"/>
              <w:rPr>
                <w:rFonts w:ascii="宋体" w:hAnsi="宋体"/>
                <w:spacing w:val="0"/>
                <w:kern w:val="2"/>
                <w:szCs w:val="24"/>
                <w:highlight w:val="none"/>
              </w:rPr>
            </w:pPr>
          </w:p>
        </w:tc>
        <w:tc>
          <w:tcPr>
            <w:tcW w:w="1574" w:type="dxa"/>
          </w:tcPr>
          <w:p>
            <w:pPr>
              <w:pStyle w:val="87"/>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0"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bl>
    <w:p>
      <w:pPr>
        <w:spacing w:before="156" w:after="156" w:line="400" w:lineRule="exact"/>
        <w:rPr>
          <w:rFonts w:ascii="宋体" w:hAnsi="宋体"/>
          <w:szCs w:val="21"/>
          <w:highlight w:val="none"/>
        </w:rPr>
      </w:pPr>
      <w:r>
        <w:rPr>
          <w:rFonts w:hint="eastAsia" w:ascii="宋体" w:hAnsi="宋体"/>
          <w:b/>
          <w:bCs/>
          <w:szCs w:val="21"/>
          <w:highlight w:val="none"/>
        </w:rPr>
        <w:t>注：</w:t>
      </w:r>
      <w:r>
        <w:rPr>
          <w:rFonts w:hint="eastAsia" w:hAnsi="宋体"/>
          <w:szCs w:val="21"/>
          <w:highlight w:val="none"/>
        </w:rPr>
        <w:t>业绩是必须以</w:t>
      </w:r>
      <w:r>
        <w:rPr>
          <w:rFonts w:hint="eastAsia" w:ascii="宋体" w:hAnsi="宋体"/>
          <w:szCs w:val="21"/>
          <w:highlight w:val="none"/>
        </w:rPr>
        <w:t>供应商</w:t>
      </w:r>
      <w:r>
        <w:rPr>
          <w:rFonts w:hint="eastAsia" w:hAnsi="宋体"/>
          <w:szCs w:val="21"/>
          <w:highlight w:val="none"/>
        </w:rPr>
        <w:t>名义完成的项目。</w:t>
      </w:r>
      <w:r>
        <w:rPr>
          <w:rFonts w:hint="eastAsia" w:ascii="宋体" w:hAnsi="宋体"/>
          <w:szCs w:val="21"/>
          <w:highlight w:val="none"/>
        </w:rPr>
        <w:t>供应商</w:t>
      </w:r>
      <w:r>
        <w:rPr>
          <w:rFonts w:hint="eastAsia" w:hAnsi="宋体"/>
          <w:szCs w:val="21"/>
          <w:highlight w:val="none"/>
        </w:rPr>
        <w:t>应在响应文件中按照《技术商务评分表》的要求提供该业绩项目的相关证明资料复印件并加盖单位公章。</w:t>
      </w:r>
    </w:p>
    <w:p>
      <w:pPr>
        <w:spacing w:before="156" w:after="156" w:line="400" w:lineRule="exact"/>
        <w:rPr>
          <w:rFonts w:ascii="宋体" w:hAnsi="宋体"/>
          <w:szCs w:val="21"/>
          <w:highlight w:val="none"/>
        </w:rPr>
      </w:pPr>
      <w:r>
        <w:rPr>
          <w:rFonts w:ascii="宋体" w:hAnsi="宋体"/>
          <w:szCs w:val="21"/>
          <w:highlight w:val="none"/>
        </w:rPr>
        <w:t>（此表可延长）</w:t>
      </w: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r>
        <w:rPr>
          <w:rFonts w:hint="eastAsia" w:ascii="宋体" w:hAnsi="宋体"/>
          <w:szCs w:val="21"/>
          <w:highlight w:val="none"/>
        </w:rPr>
        <w:t>供应商名称（加盖公章）：</w:t>
      </w:r>
    </w:p>
    <w:p>
      <w:pPr>
        <w:rPr>
          <w:rFonts w:ascii="Arial" w:hAnsi="Arial" w:cs="Arial"/>
          <w:szCs w:val="21"/>
          <w:highlight w:val="none"/>
        </w:rPr>
      </w:pPr>
    </w:p>
    <w:p>
      <w:pPr>
        <w:rPr>
          <w:rFonts w:ascii="Arial" w:hAnsi="Arial" w:cs="Arial"/>
          <w:szCs w:val="21"/>
          <w:highlight w:val="none"/>
        </w:rPr>
      </w:pPr>
    </w:p>
    <w:p>
      <w:pPr>
        <w:rPr>
          <w:rFonts w:ascii="宋体" w:hAnsi="宋体"/>
          <w:szCs w:val="21"/>
          <w:highlight w:val="none"/>
        </w:rPr>
      </w:pPr>
      <w:r>
        <w:rPr>
          <w:rFonts w:hint="eastAsia" w:ascii="宋体" w:hAnsi="宋体"/>
          <w:szCs w:val="21"/>
          <w:highlight w:val="none"/>
        </w:rPr>
        <w:t>供应商</w:t>
      </w:r>
      <w:r>
        <w:rPr>
          <w:rFonts w:hint="eastAsia" w:ascii="Arial" w:hAnsi="Arial" w:cs="Arial"/>
          <w:szCs w:val="21"/>
          <w:highlight w:val="none"/>
        </w:rPr>
        <w:t>法定代表人或其委托人签字：</w:t>
      </w:r>
      <w:r>
        <w:rPr>
          <w:rFonts w:ascii="宋体" w:hAnsi="宋体"/>
          <w:szCs w:val="21"/>
          <w:highlight w:val="none"/>
        </w:rPr>
        <w:t xml:space="preserve"> _____________</w:t>
      </w:r>
    </w:p>
    <w:p>
      <w:pPr>
        <w:rPr>
          <w:rFonts w:ascii="宋体" w:hAnsi="宋体"/>
          <w:szCs w:val="21"/>
          <w:highlight w:val="none"/>
        </w:rPr>
      </w:pPr>
    </w:p>
    <w:p>
      <w:pPr>
        <w:rPr>
          <w:rFonts w:ascii="宋体" w:hAnsi="宋体"/>
          <w:szCs w:val="21"/>
          <w:highlight w:val="none"/>
        </w:rPr>
      </w:pPr>
    </w:p>
    <w:p>
      <w:pPr>
        <w:rPr>
          <w:rFonts w:ascii="Arial" w:hAnsi="Arial" w:cs="Arial"/>
          <w:szCs w:val="21"/>
          <w:highlight w:val="none"/>
        </w:rPr>
      </w:pPr>
      <w:r>
        <w:rPr>
          <w:rFonts w:hint="eastAsia" w:ascii="Arial" w:hAnsi="Arial" w:cs="Arial"/>
          <w:szCs w:val="21"/>
          <w:highlight w:val="none"/>
        </w:rPr>
        <w:t>日  期：</w:t>
      </w:r>
    </w:p>
    <w:p>
      <w:pPr>
        <w:rPr>
          <w:rFonts w:ascii="Arial" w:hAnsi="Arial" w:cs="Arial"/>
          <w:szCs w:val="21"/>
          <w:highlight w:val="none"/>
        </w:rPr>
      </w:pPr>
    </w:p>
    <w:p>
      <w:pPr>
        <w:rPr>
          <w:rFonts w:ascii="Arial" w:hAnsi="Arial" w:cs="Arial"/>
          <w:szCs w:val="21"/>
          <w:highlight w:val="none"/>
        </w:rPr>
      </w:pPr>
    </w:p>
    <w:p>
      <w:pPr>
        <w:rPr>
          <w:rFonts w:ascii="Arial" w:hAnsi="Arial" w:cs="Arial"/>
          <w:szCs w:val="21"/>
          <w:highlight w:val="none"/>
        </w:rPr>
      </w:pPr>
    </w:p>
    <w:p>
      <w:pPr>
        <w:spacing w:line="360" w:lineRule="auto"/>
        <w:rPr>
          <w:rFonts w:ascii="Arial" w:hAnsi="Arial" w:cs="Arial"/>
          <w:szCs w:val="21"/>
          <w:highlight w:val="none"/>
        </w:rPr>
      </w:pPr>
    </w:p>
    <w:p>
      <w:pPr>
        <w:jc w:val="center"/>
        <w:rPr>
          <w:rFonts w:ascii="Arial" w:hAnsi="Arial"/>
          <w:b/>
          <w:sz w:val="28"/>
          <w:highlight w:val="none"/>
        </w:rPr>
      </w:pPr>
      <w:bookmarkStart w:id="228" w:name="_Toc456949309"/>
      <w:bookmarkStart w:id="229" w:name="_Toc420490267"/>
      <w:bookmarkStart w:id="230" w:name="_Toc23238"/>
      <w:bookmarkStart w:id="231" w:name="_Toc465353234"/>
      <w:bookmarkStart w:id="232" w:name="_Toc118799890"/>
    </w:p>
    <w:p>
      <w:pPr>
        <w:jc w:val="center"/>
        <w:rPr>
          <w:rFonts w:ascii="Arial" w:hAnsi="Arial"/>
          <w:b/>
          <w:sz w:val="28"/>
          <w:highlight w:val="none"/>
        </w:rPr>
      </w:pPr>
    </w:p>
    <w:p>
      <w:pPr>
        <w:jc w:val="center"/>
        <w:outlineLvl w:val="1"/>
        <w:rPr>
          <w:highlight w:val="none"/>
        </w:rPr>
      </w:pPr>
      <w:bookmarkStart w:id="233" w:name="_Toc6787"/>
      <w:r>
        <w:rPr>
          <w:rFonts w:hint="eastAsia" w:ascii="Arial" w:hAnsi="Arial"/>
          <w:b/>
          <w:sz w:val="28"/>
          <w:highlight w:val="none"/>
        </w:rPr>
        <w:t>表5-1</w:t>
      </w:r>
      <w:r>
        <w:rPr>
          <w:rFonts w:hint="eastAsia" w:ascii="Arial" w:hAnsi="Arial"/>
          <w:b/>
          <w:sz w:val="28"/>
          <w:highlight w:val="none"/>
          <w:lang w:val="en-US" w:eastAsia="zh-CN"/>
        </w:rPr>
        <w:t>3</w:t>
      </w:r>
      <w:r>
        <w:rPr>
          <w:rFonts w:hint="eastAsia"/>
          <w:highlight w:val="none"/>
        </w:rPr>
        <w:t xml:space="preserve"> </w:t>
      </w:r>
      <w:r>
        <w:rPr>
          <w:highlight w:val="none"/>
        </w:rPr>
        <w:t xml:space="preserve"> </w:t>
      </w:r>
      <w:bookmarkEnd w:id="228"/>
      <w:bookmarkEnd w:id="229"/>
      <w:r>
        <w:rPr>
          <w:rFonts w:hint="eastAsia" w:ascii="Arial" w:hAnsi="Arial"/>
          <w:b/>
          <w:sz w:val="28"/>
          <w:highlight w:val="none"/>
        </w:rPr>
        <w:t>拟投入项目负责人和技术（施工）人员概况表</w:t>
      </w:r>
      <w:bookmarkEnd w:id="230"/>
      <w:bookmarkEnd w:id="231"/>
      <w:bookmarkEnd w:id="233"/>
    </w:p>
    <w:p>
      <w:pPr>
        <w:pStyle w:val="5"/>
        <w:spacing w:line="360" w:lineRule="auto"/>
        <w:ind w:left="0" w:firstLine="420" w:firstLineChars="200"/>
        <w:rPr>
          <w:rFonts w:ascii="宋体" w:hAnsi="宋体" w:cs="Arial"/>
          <w:highlight w:val="none"/>
        </w:rPr>
      </w:pPr>
      <w:r>
        <w:rPr>
          <w:rFonts w:hint="eastAsia" w:ascii="宋体" w:hAnsi="宋体" w:cs="Arial"/>
          <w:highlight w:val="none"/>
        </w:rPr>
        <w:t>项目编号：</w:t>
      </w:r>
    </w:p>
    <w:p>
      <w:pPr>
        <w:pStyle w:val="5"/>
        <w:spacing w:line="360" w:lineRule="auto"/>
        <w:ind w:left="0" w:firstLine="420" w:firstLineChars="200"/>
        <w:rPr>
          <w:rFonts w:ascii="宋体" w:hAnsi="宋体"/>
          <w:szCs w:val="21"/>
          <w:highlight w:val="none"/>
        </w:rPr>
      </w:pPr>
    </w:p>
    <w:tbl>
      <w:tblPr>
        <w:tblStyle w:val="41"/>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89"/>
        <w:gridCol w:w="873"/>
        <w:gridCol w:w="1656"/>
        <w:gridCol w:w="792"/>
        <w:gridCol w:w="3271"/>
        <w:gridCol w:w="1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vAlign w:val="center"/>
          </w:tcPr>
          <w:p>
            <w:pPr>
              <w:jc w:val="center"/>
              <w:rPr>
                <w:rFonts w:ascii="Arial" w:hAnsi="Arial"/>
                <w:highlight w:val="none"/>
              </w:rPr>
            </w:pPr>
            <w:r>
              <w:rPr>
                <w:rFonts w:hint="eastAsia" w:ascii="Arial" w:hAnsi="Arial"/>
                <w:highlight w:val="none"/>
              </w:rPr>
              <w:t>序号</w:t>
            </w:r>
          </w:p>
        </w:tc>
        <w:tc>
          <w:tcPr>
            <w:tcW w:w="889" w:type="dxa"/>
            <w:vAlign w:val="center"/>
          </w:tcPr>
          <w:p>
            <w:pPr>
              <w:jc w:val="center"/>
              <w:rPr>
                <w:rFonts w:ascii="Arial" w:hAnsi="Arial"/>
                <w:highlight w:val="none"/>
              </w:rPr>
            </w:pPr>
            <w:r>
              <w:rPr>
                <w:rFonts w:hint="eastAsia" w:ascii="Arial" w:hAnsi="Arial"/>
                <w:highlight w:val="none"/>
              </w:rPr>
              <w:t>姓名</w:t>
            </w:r>
          </w:p>
        </w:tc>
        <w:tc>
          <w:tcPr>
            <w:tcW w:w="873" w:type="dxa"/>
            <w:vAlign w:val="center"/>
          </w:tcPr>
          <w:p>
            <w:pPr>
              <w:jc w:val="center"/>
              <w:rPr>
                <w:rFonts w:ascii="Arial" w:hAnsi="Arial"/>
                <w:highlight w:val="none"/>
              </w:rPr>
            </w:pPr>
            <w:r>
              <w:rPr>
                <w:rFonts w:hint="eastAsia" w:ascii="Arial" w:hAnsi="Arial"/>
                <w:highlight w:val="none"/>
              </w:rPr>
              <w:t>年龄</w:t>
            </w:r>
          </w:p>
        </w:tc>
        <w:tc>
          <w:tcPr>
            <w:tcW w:w="1656" w:type="dxa"/>
            <w:vAlign w:val="center"/>
          </w:tcPr>
          <w:p>
            <w:pPr>
              <w:jc w:val="center"/>
              <w:rPr>
                <w:rFonts w:ascii="Arial" w:hAnsi="Arial"/>
                <w:highlight w:val="none"/>
              </w:rPr>
            </w:pPr>
            <w:r>
              <w:rPr>
                <w:rFonts w:hint="eastAsia" w:ascii="Arial" w:hAnsi="Arial"/>
                <w:highlight w:val="none"/>
              </w:rPr>
              <w:t>现任职务</w:t>
            </w:r>
          </w:p>
        </w:tc>
        <w:tc>
          <w:tcPr>
            <w:tcW w:w="792" w:type="dxa"/>
            <w:vAlign w:val="center"/>
          </w:tcPr>
          <w:p>
            <w:pPr>
              <w:jc w:val="center"/>
              <w:rPr>
                <w:rFonts w:ascii="Arial" w:hAnsi="Arial"/>
                <w:highlight w:val="none"/>
              </w:rPr>
            </w:pPr>
            <w:r>
              <w:rPr>
                <w:rFonts w:hint="eastAsia" w:ascii="Arial" w:hAnsi="Arial"/>
                <w:highlight w:val="none"/>
              </w:rPr>
              <w:t>资格证书</w:t>
            </w:r>
          </w:p>
        </w:tc>
        <w:tc>
          <w:tcPr>
            <w:tcW w:w="3271" w:type="dxa"/>
            <w:vAlign w:val="center"/>
          </w:tcPr>
          <w:p>
            <w:pPr>
              <w:jc w:val="center"/>
              <w:rPr>
                <w:rFonts w:ascii="Arial" w:hAnsi="Arial"/>
                <w:highlight w:val="none"/>
              </w:rPr>
            </w:pPr>
            <w:r>
              <w:rPr>
                <w:rFonts w:hint="eastAsia" w:ascii="Arial" w:hAnsi="Arial"/>
                <w:highlight w:val="none"/>
              </w:rPr>
              <w:t>主要资历、经验及承担过的项目</w:t>
            </w:r>
          </w:p>
        </w:tc>
        <w:tc>
          <w:tcPr>
            <w:tcW w:w="1387" w:type="dxa"/>
            <w:vAlign w:val="center"/>
          </w:tcPr>
          <w:p>
            <w:pPr>
              <w:jc w:val="center"/>
              <w:rPr>
                <w:rFonts w:ascii="Arial" w:hAnsi="Arial"/>
                <w:highlight w:val="none"/>
              </w:rPr>
            </w:pPr>
            <w:r>
              <w:rPr>
                <w:rFonts w:hint="eastAsia" w:ascii="Arial" w:hAnsi="Arial"/>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r>
              <w:rPr>
                <w:rFonts w:hint="eastAsia" w:ascii="Arial" w:hAnsi="Arial"/>
                <w:highlight w:val="none"/>
              </w:rPr>
              <w:t>项目负责人</w:t>
            </w: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r>
              <w:rPr>
                <w:rFonts w:hint="eastAsia" w:ascii="Arial" w:hAnsi="Arial"/>
                <w:highlight w:val="none"/>
              </w:rPr>
              <w:t>技术负责人</w:t>
            </w: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r>
              <w:rPr>
                <w:rFonts w:hint="eastAsia" w:ascii="宋体" w:hAnsi="宋体"/>
                <w:szCs w:val="21"/>
                <w:highlight w:val="none"/>
              </w:rPr>
              <w:t>其他主要人员</w:t>
            </w: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bl>
    <w:p>
      <w:pPr>
        <w:rPr>
          <w:rFonts w:ascii="宋体"/>
          <w:highlight w:val="none"/>
        </w:rPr>
      </w:pPr>
    </w:p>
    <w:p>
      <w:pPr>
        <w:spacing w:line="400" w:lineRule="exact"/>
        <w:ind w:left="719" w:hanging="719" w:hangingChars="341"/>
        <w:rPr>
          <w:rFonts w:ascii="方正报宋简体" w:eastAsia="方正报宋简体"/>
          <w:highlight w:val="none"/>
        </w:rPr>
      </w:pPr>
      <w:r>
        <w:rPr>
          <w:rFonts w:hint="eastAsia" w:ascii="方正报宋简体" w:eastAsia="方正报宋简体"/>
          <w:b/>
          <w:highlight w:val="none"/>
        </w:rPr>
        <w:t>注：</w:t>
      </w:r>
    </w:p>
    <w:p>
      <w:pPr>
        <w:spacing w:line="400" w:lineRule="exact"/>
        <w:ind w:firstLine="420" w:firstLineChars="200"/>
        <w:rPr>
          <w:rFonts w:ascii="方正报宋简体" w:eastAsia="方正报宋简体"/>
          <w:highlight w:val="none"/>
        </w:rPr>
      </w:pPr>
      <w:r>
        <w:rPr>
          <w:rFonts w:hint="eastAsia" w:ascii="方正报宋简体" w:eastAsia="方正报宋简体"/>
          <w:highlight w:val="none"/>
        </w:rPr>
        <w:t>1．</w:t>
      </w:r>
      <w:r>
        <w:rPr>
          <w:rFonts w:hint="eastAsia" w:ascii="宋体" w:hAnsi="宋体"/>
          <w:szCs w:val="21"/>
          <w:highlight w:val="none"/>
        </w:rPr>
        <w:t>供应商</w:t>
      </w:r>
      <w:r>
        <w:rPr>
          <w:rFonts w:hint="eastAsia" w:ascii="方正报宋简体" w:eastAsia="方正报宋简体"/>
          <w:highlight w:val="none"/>
        </w:rPr>
        <w:t>应认真填写本表中的每一栏。</w:t>
      </w:r>
    </w:p>
    <w:p>
      <w:pPr>
        <w:spacing w:line="400" w:lineRule="exact"/>
        <w:ind w:firstLine="420" w:firstLineChars="200"/>
        <w:rPr>
          <w:rFonts w:ascii="方正报宋简体" w:eastAsia="方正报宋简体"/>
          <w:highlight w:val="none"/>
        </w:rPr>
      </w:pPr>
      <w:r>
        <w:rPr>
          <w:rFonts w:hint="eastAsia" w:ascii="方正报宋简体" w:eastAsia="方正报宋简体"/>
          <w:highlight w:val="none"/>
        </w:rPr>
        <w:t>2.</w:t>
      </w:r>
      <w:r>
        <w:rPr>
          <w:rFonts w:hint="eastAsia"/>
          <w:highlight w:val="none"/>
        </w:rPr>
        <w:t xml:space="preserve"> </w:t>
      </w:r>
      <w:r>
        <w:rPr>
          <w:rFonts w:hint="eastAsia" w:hAnsi="宋体"/>
          <w:szCs w:val="21"/>
          <w:highlight w:val="none"/>
        </w:rPr>
        <w:t>按照《技术商务评分表》的要求提供相关证明资料复印件并加盖单位公章</w:t>
      </w:r>
      <w:r>
        <w:rPr>
          <w:rFonts w:hint="eastAsia" w:hAnsi="宋体"/>
          <w:b/>
          <w:bCs/>
          <w:szCs w:val="21"/>
          <w:highlight w:val="none"/>
        </w:rPr>
        <w:t>。</w:t>
      </w:r>
    </w:p>
    <w:p>
      <w:pPr>
        <w:pStyle w:val="5"/>
        <w:spacing w:line="360" w:lineRule="auto"/>
        <w:ind w:left="0" w:firstLine="420" w:firstLineChars="200"/>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r>
        <w:rPr>
          <w:rFonts w:hint="eastAsia" w:ascii="宋体" w:hAnsi="宋体"/>
          <w:szCs w:val="21"/>
          <w:highlight w:val="none"/>
        </w:rPr>
        <w:t>供应商</w:t>
      </w:r>
      <w:r>
        <w:rPr>
          <w:rFonts w:hint="eastAsia" w:ascii="宋体" w:hAnsi="宋体"/>
          <w:highlight w:val="none"/>
        </w:rPr>
        <w:t>名称（</w:t>
      </w:r>
      <w:r>
        <w:rPr>
          <w:rFonts w:hint="eastAsia" w:ascii="宋体" w:hAnsi="宋体"/>
          <w:szCs w:val="21"/>
          <w:highlight w:val="none"/>
        </w:rPr>
        <w:t>并</w:t>
      </w:r>
      <w:r>
        <w:rPr>
          <w:rFonts w:hint="eastAsia" w:ascii="宋体" w:hAnsi="宋体"/>
          <w:highlight w:val="none"/>
        </w:rPr>
        <w:t xml:space="preserve">加盖公章）： </w:t>
      </w:r>
    </w:p>
    <w:p>
      <w:pPr>
        <w:spacing w:line="360" w:lineRule="auto"/>
        <w:rPr>
          <w:rFonts w:ascii="宋体" w:hAnsi="宋体"/>
          <w:highlight w:val="none"/>
        </w:rPr>
      </w:pPr>
      <w:r>
        <w:rPr>
          <w:rFonts w:hint="eastAsia" w:ascii="宋体" w:hAnsi="宋体"/>
          <w:szCs w:val="21"/>
          <w:highlight w:val="none"/>
        </w:rPr>
        <w:t>供应商</w:t>
      </w:r>
      <w:r>
        <w:rPr>
          <w:rFonts w:hint="eastAsia" w:ascii="宋体" w:hAnsi="宋体" w:cs="Arial"/>
          <w:highlight w:val="none"/>
        </w:rPr>
        <w:t>法定代表人或其委托人签字：</w:t>
      </w:r>
      <w:r>
        <w:rPr>
          <w:rFonts w:ascii="宋体" w:hAnsi="宋体"/>
          <w:highlight w:val="none"/>
        </w:rPr>
        <w:t xml:space="preserve"> _____________</w:t>
      </w:r>
    </w:p>
    <w:p>
      <w:pPr>
        <w:spacing w:line="360" w:lineRule="auto"/>
        <w:rPr>
          <w:rFonts w:ascii="宋体" w:hAnsi="宋体"/>
          <w:highlight w:val="none"/>
        </w:rPr>
      </w:pPr>
      <w:r>
        <w:rPr>
          <w:rFonts w:hint="eastAsia" w:ascii="宋体" w:hAnsi="宋体"/>
          <w:highlight w:val="none"/>
        </w:rPr>
        <w:t>日  期：</w:t>
      </w:r>
    </w:p>
    <w:p>
      <w:pPr>
        <w:pStyle w:val="4"/>
        <w:rPr>
          <w:color w:val="auto"/>
          <w:highlight w:val="none"/>
        </w:rPr>
      </w:pPr>
      <w:bookmarkStart w:id="234" w:name="_Toc456949310"/>
      <w:bookmarkStart w:id="235" w:name="_Toc465353235"/>
      <w:bookmarkStart w:id="236" w:name="_Toc28845_WPSOffice_Level2"/>
      <w:bookmarkStart w:id="237" w:name="_Toc4924"/>
      <w:bookmarkStart w:id="238" w:name="_Toc13327"/>
    </w:p>
    <w:p>
      <w:pPr>
        <w:pStyle w:val="4"/>
        <w:rPr>
          <w:color w:val="auto"/>
          <w:highlight w:val="none"/>
        </w:rPr>
      </w:pPr>
      <w:bookmarkStart w:id="239" w:name="_Toc7226"/>
      <w:r>
        <w:rPr>
          <w:rFonts w:hint="eastAsia"/>
          <w:color w:val="auto"/>
          <w:highlight w:val="none"/>
        </w:rPr>
        <w:t>表5-1</w:t>
      </w:r>
      <w:r>
        <w:rPr>
          <w:rFonts w:hint="eastAsia"/>
          <w:color w:val="auto"/>
          <w:highlight w:val="none"/>
          <w:lang w:val="en-US" w:eastAsia="zh-CN"/>
        </w:rPr>
        <w:t>4</w:t>
      </w:r>
      <w:r>
        <w:rPr>
          <w:rFonts w:hint="eastAsia"/>
          <w:color w:val="auto"/>
          <w:highlight w:val="none"/>
        </w:rPr>
        <w:t xml:space="preserve"> </w:t>
      </w:r>
      <w:bookmarkEnd w:id="232"/>
      <w:bookmarkEnd w:id="234"/>
      <w:r>
        <w:rPr>
          <w:rFonts w:hint="eastAsia"/>
          <w:color w:val="auto"/>
          <w:highlight w:val="none"/>
        </w:rPr>
        <w:t>施工方案</w:t>
      </w:r>
      <w:bookmarkEnd w:id="235"/>
      <w:bookmarkEnd w:id="236"/>
      <w:bookmarkEnd w:id="237"/>
      <w:bookmarkEnd w:id="238"/>
      <w:bookmarkEnd w:id="239"/>
    </w:p>
    <w:p>
      <w:pPr>
        <w:pStyle w:val="23"/>
        <w:jc w:val="center"/>
        <w:rPr>
          <w:b/>
          <w:bCs/>
          <w:sz w:val="30"/>
          <w:szCs w:val="30"/>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名称（加盖公章）：</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法定代表人或其委托人签字：</w:t>
      </w:r>
      <w:r>
        <w:rPr>
          <w:rFonts w:hAnsi="宋体"/>
          <w:kern w:val="0"/>
          <w:szCs w:val="21"/>
          <w:highlight w:val="none"/>
        </w:rPr>
        <w:t xml:space="preserve"> _____________</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kern w:val="0"/>
          <w:szCs w:val="21"/>
          <w:highlight w:val="none"/>
        </w:rPr>
        <w:t>日  期：</w:t>
      </w:r>
    </w:p>
    <w:bookmarkEnd w:id="108"/>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4"/>
        <w:rPr>
          <w:color w:val="auto"/>
          <w:highlight w:val="none"/>
        </w:rPr>
      </w:pPr>
      <w:bookmarkStart w:id="240" w:name="_Hlt523219701"/>
      <w:bookmarkEnd w:id="240"/>
      <w:bookmarkStart w:id="241" w:name="_Toc30874_WPSOffice_Level2"/>
      <w:bookmarkStart w:id="242" w:name="_Toc465353236"/>
      <w:bookmarkStart w:id="243" w:name="_Toc14360"/>
      <w:bookmarkStart w:id="244" w:name="_Toc456949311"/>
      <w:bookmarkStart w:id="245" w:name="_Toc30278"/>
      <w:bookmarkStart w:id="246" w:name="_Toc17838"/>
      <w:bookmarkStart w:id="247" w:name="_Toc513276960"/>
      <w:r>
        <w:rPr>
          <w:rFonts w:hint="eastAsia"/>
          <w:color w:val="auto"/>
          <w:highlight w:val="none"/>
        </w:rPr>
        <w:t>表5-1</w:t>
      </w:r>
      <w:r>
        <w:rPr>
          <w:rFonts w:hint="eastAsia"/>
          <w:color w:val="auto"/>
          <w:highlight w:val="none"/>
          <w:lang w:val="en-US" w:eastAsia="zh-CN"/>
        </w:rPr>
        <w:t>5</w:t>
      </w:r>
      <w:r>
        <w:rPr>
          <w:rFonts w:hint="eastAsia"/>
          <w:color w:val="auto"/>
          <w:highlight w:val="none"/>
        </w:rPr>
        <w:t xml:space="preserve"> 中标（成交）服务费承诺书</w:t>
      </w:r>
      <w:bookmarkEnd w:id="241"/>
      <w:bookmarkEnd w:id="242"/>
      <w:bookmarkEnd w:id="243"/>
      <w:bookmarkEnd w:id="244"/>
      <w:bookmarkEnd w:id="245"/>
      <w:bookmarkEnd w:id="246"/>
    </w:p>
    <w:p>
      <w:pPr>
        <w:wordWrap w:val="0"/>
        <w:spacing w:line="360" w:lineRule="auto"/>
        <w:jc w:val="right"/>
        <w:rPr>
          <w:rFonts w:ascii="宋体"/>
          <w:sz w:val="24"/>
          <w:highlight w:val="none"/>
        </w:rPr>
      </w:pPr>
      <w:r>
        <w:rPr>
          <w:rFonts w:hint="eastAsia" w:ascii="宋体"/>
          <w:sz w:val="24"/>
          <w:highlight w:val="none"/>
        </w:rPr>
        <w:t xml:space="preserve"> </w:t>
      </w:r>
      <w:bookmarkEnd w:id="247"/>
    </w:p>
    <w:p>
      <w:pPr>
        <w:spacing w:line="480" w:lineRule="auto"/>
        <w:rPr>
          <w:rFonts w:hint="eastAsia" w:ascii="宋体" w:eastAsia="宋体"/>
          <w:b/>
          <w:szCs w:val="21"/>
          <w:highlight w:val="none"/>
          <w:lang w:eastAsia="zh-CN"/>
        </w:rPr>
      </w:pPr>
      <w:r>
        <w:rPr>
          <w:rFonts w:hint="eastAsia" w:ascii="宋体"/>
          <w:b/>
          <w:szCs w:val="21"/>
          <w:highlight w:val="none"/>
        </w:rPr>
        <w:t>致：</w:t>
      </w:r>
      <w:r>
        <w:rPr>
          <w:rFonts w:hint="eastAsia" w:ascii="宋体"/>
          <w:b/>
          <w:szCs w:val="21"/>
          <w:highlight w:val="none"/>
          <w:lang w:eastAsia="zh-CN"/>
        </w:rPr>
        <w:t>中山行远项目管理有限公司</w:t>
      </w:r>
    </w:p>
    <w:p>
      <w:pPr>
        <w:spacing w:line="480" w:lineRule="auto"/>
        <w:ind w:firstLine="540"/>
        <w:jc w:val="both"/>
        <w:rPr>
          <w:rFonts w:ascii="宋体"/>
          <w:szCs w:val="21"/>
          <w:highlight w:val="none"/>
        </w:rPr>
      </w:pPr>
      <w:r>
        <w:rPr>
          <w:rFonts w:hint="eastAsia" w:ascii="宋体"/>
          <w:szCs w:val="21"/>
          <w:highlight w:val="none"/>
        </w:rPr>
        <w:t>如果我方在贵单位组织的</w:t>
      </w:r>
      <w:r>
        <w:rPr>
          <w:rFonts w:hint="eastAsia" w:ascii="宋体"/>
          <w:szCs w:val="21"/>
          <w:highlight w:val="none"/>
          <w:lang w:eastAsia="zh-CN"/>
        </w:rPr>
        <w:t>俊景路观景路改造提升</w:t>
      </w:r>
      <w:r>
        <w:rPr>
          <w:rFonts w:hint="eastAsia" w:ascii="宋体"/>
          <w:szCs w:val="21"/>
          <w:highlight w:val="none"/>
        </w:rPr>
        <w:t>（项目编号：</w:t>
      </w:r>
      <w:r>
        <w:rPr>
          <w:rFonts w:hint="eastAsia" w:ascii="宋体"/>
          <w:szCs w:val="21"/>
          <w:highlight w:val="none"/>
          <w:u w:val="single"/>
        </w:rPr>
        <w:t xml:space="preserve"> </w:t>
      </w:r>
      <w:r>
        <w:rPr>
          <w:rFonts w:hint="eastAsia"/>
          <w:highlight w:val="none"/>
          <w:u w:val="single"/>
          <w:lang w:eastAsia="zh-CN"/>
        </w:rPr>
        <w:t>XYGL202403CSC001</w:t>
      </w:r>
      <w:r>
        <w:rPr>
          <w:rFonts w:hint="eastAsia" w:ascii="宋体" w:hAnsi="宋体"/>
          <w:sz w:val="18"/>
          <w:szCs w:val="21"/>
          <w:highlight w:val="none"/>
          <w:u w:val="single"/>
        </w:rPr>
        <w:t xml:space="preserve"> </w:t>
      </w:r>
      <w:r>
        <w:rPr>
          <w:rFonts w:hint="eastAsia" w:ascii="宋体"/>
          <w:szCs w:val="21"/>
          <w:highlight w:val="none"/>
        </w:rPr>
        <w:t>）磋商中被确立为中标（成交）</w:t>
      </w:r>
      <w:r>
        <w:rPr>
          <w:rFonts w:hint="eastAsia" w:ascii="宋体" w:hAnsi="宋体"/>
          <w:szCs w:val="21"/>
          <w:highlight w:val="none"/>
        </w:rPr>
        <w:t>供应商</w:t>
      </w:r>
      <w:r>
        <w:rPr>
          <w:rFonts w:hint="eastAsia" w:ascii="宋体"/>
          <w:szCs w:val="21"/>
          <w:highlight w:val="none"/>
        </w:rPr>
        <w:t>，我方保证在收到《中标（成交）通知书》后，按照磋商文件的有关规定向贵单位（地址：</w:t>
      </w:r>
      <w:r>
        <w:rPr>
          <w:rFonts w:hint="eastAsia"/>
          <w:szCs w:val="21"/>
          <w:highlight w:val="none"/>
          <w:u w:val="single"/>
          <w:lang w:eastAsia="zh-CN"/>
        </w:rPr>
        <w:t>中山市南朗翠亨新区和信路18号翠亨大厦A栋13层</w:t>
      </w:r>
      <w:r>
        <w:rPr>
          <w:rFonts w:hint="eastAsia" w:ascii="宋体"/>
          <w:szCs w:val="21"/>
          <w:highlight w:val="none"/>
        </w:rPr>
        <w:t>，开户银行：</w:t>
      </w:r>
      <w:r>
        <w:rPr>
          <w:rFonts w:hint="eastAsia" w:hAnsi="宋体"/>
          <w:b/>
          <w:szCs w:val="24"/>
          <w:highlight w:val="none"/>
        </w:rPr>
        <w:t>中国建设银行股份有限公司中山翠亨新区支行</w:t>
      </w:r>
      <w:r>
        <w:rPr>
          <w:rFonts w:hint="eastAsia" w:ascii="宋体"/>
          <w:szCs w:val="21"/>
          <w:highlight w:val="none"/>
        </w:rPr>
        <w:t>，账号：</w:t>
      </w:r>
      <w:r>
        <w:rPr>
          <w:rFonts w:hint="eastAsia" w:hAnsi="宋体"/>
          <w:b/>
          <w:szCs w:val="24"/>
          <w:highlight w:val="none"/>
        </w:rPr>
        <w:t>44050178004900000243</w:t>
      </w:r>
      <w:r>
        <w:rPr>
          <w:rFonts w:hint="eastAsia" w:ascii="宋体"/>
          <w:szCs w:val="21"/>
          <w:highlight w:val="none"/>
        </w:rPr>
        <w:t>）交纳中标（成交）服务费。</w:t>
      </w:r>
    </w:p>
    <w:p>
      <w:pPr>
        <w:spacing w:line="480" w:lineRule="auto"/>
        <w:ind w:firstLine="539"/>
        <w:jc w:val="both"/>
        <w:rPr>
          <w:rFonts w:ascii="宋体"/>
          <w:szCs w:val="21"/>
          <w:highlight w:val="none"/>
        </w:rPr>
      </w:pPr>
      <w:r>
        <w:rPr>
          <w:rFonts w:hint="eastAsia" w:ascii="宋体"/>
          <w:szCs w:val="21"/>
          <w:highlight w:val="none"/>
        </w:rPr>
        <w:t>我方如违反上款承诺，愿凭贵单位开出的相关通知，按上述承诺金额的200％在我方提交的</w:t>
      </w:r>
      <w:r>
        <w:rPr>
          <w:rFonts w:hint="eastAsia" w:ascii="宋体"/>
          <w:szCs w:val="21"/>
          <w:highlight w:val="none"/>
          <w:lang w:val="en-US" w:eastAsia="zh-CN"/>
        </w:rPr>
        <w:t>甲</w:t>
      </w:r>
      <w:r>
        <w:rPr>
          <w:rFonts w:hint="eastAsia" w:ascii="宋体"/>
          <w:szCs w:val="21"/>
          <w:highlight w:val="none"/>
        </w:rPr>
        <w:t>方根据中标（成交）合同约定支付给我方的合同款中扣付。</w:t>
      </w:r>
    </w:p>
    <w:p>
      <w:pPr>
        <w:pStyle w:val="30"/>
        <w:tabs>
          <w:tab w:val="clear" w:pos="9499"/>
        </w:tabs>
        <w:spacing w:line="480" w:lineRule="auto"/>
        <w:rPr>
          <w:rFonts w:ascii="宋体" w:hAnsi="Times New Roman"/>
          <w:bCs w:val="0"/>
          <w:highlight w:val="none"/>
        </w:rPr>
      </w:pPr>
    </w:p>
    <w:p>
      <w:pPr>
        <w:spacing w:line="480" w:lineRule="auto"/>
        <w:ind w:firstLine="540"/>
        <w:rPr>
          <w:rFonts w:ascii="宋体"/>
          <w:szCs w:val="21"/>
          <w:highlight w:val="none"/>
        </w:rPr>
      </w:pPr>
      <w:r>
        <w:rPr>
          <w:rFonts w:hint="eastAsia" w:ascii="宋体"/>
          <w:szCs w:val="21"/>
          <w:highlight w:val="none"/>
        </w:rPr>
        <w:t>特此承诺！</w:t>
      </w:r>
    </w:p>
    <w:p>
      <w:pPr>
        <w:spacing w:line="480" w:lineRule="auto"/>
        <w:ind w:firstLine="540"/>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hAnsi="宋体"/>
          <w:szCs w:val="21"/>
          <w:highlight w:val="none"/>
        </w:rPr>
        <w:t>供应商</w:t>
      </w:r>
      <w:r>
        <w:rPr>
          <w:rFonts w:hint="eastAsia" w:ascii="宋体"/>
          <w:szCs w:val="21"/>
          <w:highlight w:val="none"/>
        </w:rPr>
        <w:t>名称（</w:t>
      </w:r>
      <w:r>
        <w:rPr>
          <w:rFonts w:hint="eastAsia" w:ascii="宋体" w:hAnsi="宋体"/>
          <w:szCs w:val="21"/>
          <w:highlight w:val="none"/>
        </w:rPr>
        <w:t>加盖</w:t>
      </w:r>
      <w:r>
        <w:rPr>
          <w:rFonts w:hint="eastAsia" w:ascii="宋体"/>
          <w:szCs w:val="21"/>
          <w:highlight w:val="none"/>
        </w:rPr>
        <w:t>法人公章）；</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hAnsi="宋体"/>
          <w:szCs w:val="21"/>
          <w:highlight w:val="none"/>
        </w:rPr>
        <w:t>供应商</w:t>
      </w:r>
      <w:r>
        <w:rPr>
          <w:rFonts w:hint="eastAsia" w:ascii="宋体"/>
          <w:szCs w:val="21"/>
          <w:highlight w:val="none"/>
        </w:rPr>
        <w:t>法定地址：</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hAnsi="宋体"/>
          <w:szCs w:val="21"/>
          <w:highlight w:val="none"/>
        </w:rPr>
        <w:t>供应商</w:t>
      </w:r>
      <w:r>
        <w:rPr>
          <w:rFonts w:hint="eastAsia" w:ascii="宋体"/>
          <w:szCs w:val="21"/>
          <w:highlight w:val="none"/>
        </w:rPr>
        <w:t>被授权代表（签字或盖章）：</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szCs w:val="21"/>
          <w:highlight w:val="none"/>
        </w:rPr>
        <w:t>电    话：</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szCs w:val="21"/>
          <w:highlight w:val="none"/>
        </w:rPr>
        <w:t>传    真：</w:t>
      </w:r>
    </w:p>
    <w:p>
      <w:pPr>
        <w:spacing w:line="480" w:lineRule="auto"/>
        <w:ind w:left="1438" w:leftChars="685"/>
        <w:rPr>
          <w:rFonts w:ascii="宋体"/>
          <w:szCs w:val="21"/>
          <w:highlight w:val="none"/>
        </w:rPr>
      </w:pPr>
    </w:p>
    <w:p>
      <w:pPr>
        <w:pStyle w:val="23"/>
        <w:ind w:firstLine="4200" w:firstLineChars="2000"/>
        <w:rPr>
          <w:szCs w:val="21"/>
          <w:highlight w:val="none"/>
        </w:rPr>
      </w:pPr>
      <w:r>
        <w:rPr>
          <w:rFonts w:hint="eastAsia"/>
          <w:szCs w:val="21"/>
          <w:highlight w:val="none"/>
        </w:rPr>
        <w:t>承诺日期：            年    月    日</w:t>
      </w:r>
    </w:p>
    <w:p>
      <w:pPr>
        <w:pStyle w:val="23"/>
        <w:ind w:firstLine="4200" w:firstLineChars="2000"/>
        <w:rPr>
          <w:szCs w:val="21"/>
          <w:highlight w:val="none"/>
        </w:rPr>
      </w:pPr>
    </w:p>
    <w:p>
      <w:pPr>
        <w:pStyle w:val="23"/>
        <w:ind w:firstLine="4200" w:firstLineChars="2000"/>
        <w:rPr>
          <w:szCs w:val="21"/>
          <w:highlight w:val="none"/>
        </w:rPr>
      </w:pPr>
    </w:p>
    <w:p>
      <w:pPr>
        <w:pStyle w:val="23"/>
        <w:ind w:firstLine="4200" w:firstLineChars="2000"/>
        <w:rPr>
          <w:szCs w:val="21"/>
          <w:highlight w:val="none"/>
        </w:rPr>
      </w:pPr>
    </w:p>
    <w:p>
      <w:pPr>
        <w:pStyle w:val="23"/>
        <w:ind w:firstLine="4200" w:firstLineChars="2000"/>
        <w:rPr>
          <w:szCs w:val="21"/>
          <w:highlight w:val="none"/>
        </w:rPr>
      </w:pPr>
    </w:p>
    <w:p>
      <w:pPr>
        <w:pStyle w:val="4"/>
        <w:rPr>
          <w:color w:val="auto"/>
          <w:highlight w:val="none"/>
        </w:rPr>
      </w:pPr>
      <w:bookmarkStart w:id="248" w:name="_Toc417032607"/>
      <w:bookmarkStart w:id="249" w:name="_Toc456949312"/>
      <w:bookmarkStart w:id="250" w:name="_Toc419706969"/>
      <w:bookmarkStart w:id="251" w:name="_Toc424119382"/>
      <w:bookmarkStart w:id="252" w:name="_Toc7075_WPSOffice_Level2"/>
      <w:bookmarkStart w:id="253" w:name="_Toc437"/>
      <w:bookmarkStart w:id="254" w:name="_Toc11576"/>
      <w:bookmarkStart w:id="255" w:name="_Toc9112"/>
      <w:bookmarkStart w:id="256" w:name="_Toc465353237"/>
      <w:r>
        <w:rPr>
          <w:rFonts w:hint="eastAsia"/>
          <w:color w:val="auto"/>
          <w:highlight w:val="none"/>
        </w:rPr>
        <w:t>表5-1</w:t>
      </w:r>
      <w:r>
        <w:rPr>
          <w:rFonts w:hint="eastAsia"/>
          <w:color w:val="auto"/>
          <w:highlight w:val="none"/>
          <w:lang w:val="en-US" w:eastAsia="zh-CN"/>
        </w:rPr>
        <w:t>6</w:t>
      </w:r>
      <w:r>
        <w:rPr>
          <w:rFonts w:hint="eastAsia"/>
          <w:color w:val="auto"/>
          <w:highlight w:val="none"/>
        </w:rPr>
        <w:t xml:space="preserve">   </w:t>
      </w:r>
      <w:bookmarkEnd w:id="248"/>
      <w:bookmarkEnd w:id="249"/>
      <w:bookmarkEnd w:id="250"/>
      <w:bookmarkEnd w:id="251"/>
      <w:r>
        <w:rPr>
          <w:rFonts w:hint="eastAsia"/>
          <w:color w:val="auto"/>
          <w:highlight w:val="none"/>
        </w:rPr>
        <w:t>其他资格证明材料</w:t>
      </w:r>
      <w:bookmarkEnd w:id="252"/>
      <w:bookmarkEnd w:id="253"/>
      <w:bookmarkEnd w:id="254"/>
      <w:bookmarkEnd w:id="255"/>
      <w:bookmarkEnd w:id="256"/>
    </w:p>
    <w:p>
      <w:pPr>
        <w:spacing w:line="300" w:lineRule="auto"/>
        <w:rPr>
          <w:rFonts w:ascii="仿宋_GB2312" w:hAnsi="仿宋" w:eastAsia="仿宋_GB2312"/>
          <w:sz w:val="28"/>
          <w:szCs w:val="28"/>
          <w:highlight w:val="none"/>
        </w:rPr>
      </w:pPr>
    </w:p>
    <w:p>
      <w:pPr>
        <w:spacing w:line="360" w:lineRule="auto"/>
        <w:ind w:firstLine="627" w:firstLineChars="196"/>
        <w:jc w:val="both"/>
        <w:rPr>
          <w:rFonts w:ascii="宋体"/>
          <w:b/>
          <w:szCs w:val="21"/>
          <w:highlight w:val="none"/>
        </w:rPr>
      </w:pPr>
      <w:bookmarkStart w:id="257" w:name="_Toc4875_WPSOffice_Level1"/>
      <w:bookmarkStart w:id="258" w:name="_Toc15021_WPSOffice_Level1"/>
      <w:bookmarkStart w:id="259" w:name="_Toc12225"/>
      <w:bookmarkStart w:id="260" w:name="_Toc15398"/>
      <w:bookmarkStart w:id="261" w:name="_Toc28385"/>
      <w:r>
        <w:rPr>
          <w:rFonts w:hint="eastAsia"/>
          <w:sz w:val="32"/>
          <w:szCs w:val="32"/>
          <w:highlight w:val="none"/>
        </w:rPr>
        <w:t>注：供应商认为有必要提供的其他资料。</w:t>
      </w:r>
      <w:bookmarkEnd w:id="257"/>
      <w:bookmarkEnd w:id="258"/>
      <w:bookmarkEnd w:id="259"/>
      <w:bookmarkEnd w:id="260"/>
      <w:bookmarkEnd w:id="261"/>
    </w:p>
    <w:p>
      <w:pPr>
        <w:tabs>
          <w:tab w:val="left" w:pos="7485"/>
        </w:tabs>
        <w:spacing w:line="360" w:lineRule="auto"/>
        <w:jc w:val="both"/>
        <w:rPr>
          <w:rFonts w:ascii="宋体"/>
          <w:b/>
          <w:szCs w:val="21"/>
          <w:highlight w:val="none"/>
        </w:rPr>
      </w:pPr>
      <w:r>
        <w:rPr>
          <w:rFonts w:ascii="宋体"/>
          <w:b/>
          <w:szCs w:val="21"/>
          <w:highlight w:val="none"/>
        </w:rPr>
        <w:tab/>
      </w:r>
    </w:p>
    <w:p>
      <w:pPr>
        <w:spacing w:line="360" w:lineRule="auto"/>
        <w:jc w:val="both"/>
        <w:rPr>
          <w:rFonts w:ascii="宋体"/>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名称（加盖公章）：</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法定代表人或其委托人签字：</w:t>
      </w:r>
      <w:r>
        <w:rPr>
          <w:rFonts w:hAnsi="宋体"/>
          <w:kern w:val="0"/>
          <w:szCs w:val="21"/>
          <w:highlight w:val="none"/>
        </w:rPr>
        <w:t xml:space="preserve"> _____________</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kern w:val="0"/>
          <w:szCs w:val="21"/>
          <w:highlight w:val="none"/>
        </w:rPr>
        <w:t>日  期：</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sectPr>
      <w:footerReference r:id="rId9" w:type="default"/>
      <w:footerReference r:id="rId10" w:type="even"/>
      <w:type w:val="nextColumn"/>
      <w:pgSz w:w="11907" w:h="16840"/>
      <w:pgMar w:top="1134" w:right="1134" w:bottom="1134" w:left="1134" w:header="794" w:footer="794" w:gutter="0"/>
      <w:cols w:space="720" w:num="1"/>
      <w:docGrid w:linePitch="286" w:charSpace="2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00"/>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0" w:usb3="00000000" w:csb0="2000019F" w:csb1="4F010000"/>
  </w:font>
  <w:font w:name="Sim Sun">
    <w:altName w:val="微软雅黑"/>
    <w:panose1 w:val="00000000000000000000"/>
    <w:charset w:val="00"/>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报宋简体">
    <w:altName w:val="宋体"/>
    <w:panose1 w:val="00000000000000000000"/>
    <w:charset w:val="00"/>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5"/>
      </w:rPr>
    </w:pPr>
    <w:r>
      <w:fldChar w:fldCharType="begin"/>
    </w:r>
    <w:r>
      <w:rPr>
        <w:rStyle w:val="45"/>
      </w:rPr>
      <w:instrText xml:space="preserve">PAGE  </w:instrText>
    </w:r>
    <w: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center" w:pos="4819"/>
        <w:tab w:val="clear" w:pos="4153"/>
      </w:tabs>
    </w:pP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2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center" w:pos="481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2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2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5"/>
      </w:rPr>
    </w:pPr>
    <w:r>
      <w:fldChar w:fldCharType="begin"/>
    </w:r>
    <w:r>
      <w:rPr>
        <w:rStyle w:val="45"/>
      </w:rPr>
      <w:instrText xml:space="preserve">PAGE  </w:instrText>
    </w:r>
    <w:r>
      <w:fldChar w:fldCharType="separate"/>
    </w:r>
    <w:r>
      <w:rPr>
        <w:rStyle w:val="45"/>
      </w:rPr>
      <w:t>2</w:t>
    </w:r>
    <w:r>
      <w:fldChar w:fldCharType="end"/>
    </w:r>
  </w:p>
  <w:p>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7C87A"/>
    <w:multiLevelType w:val="singleLevel"/>
    <w:tmpl w:val="8067C87A"/>
    <w:lvl w:ilvl="0" w:tentative="0">
      <w:start w:val="1"/>
      <w:numFmt w:val="decimal"/>
      <w:suff w:val="nothing"/>
      <w:lvlText w:val="%1、"/>
      <w:lvlJc w:val="left"/>
    </w:lvl>
  </w:abstractNum>
  <w:abstractNum w:abstractNumId="1">
    <w:nsid w:val="88C94EDC"/>
    <w:multiLevelType w:val="singleLevel"/>
    <w:tmpl w:val="88C94EDC"/>
    <w:lvl w:ilvl="0" w:tentative="0">
      <w:start w:val="1"/>
      <w:numFmt w:val="decimal"/>
      <w:suff w:val="nothing"/>
      <w:lvlText w:val="%1、"/>
      <w:lvlJc w:val="left"/>
    </w:lvl>
  </w:abstractNum>
  <w:abstractNum w:abstractNumId="2">
    <w:nsid w:val="00000017"/>
    <w:multiLevelType w:val="multilevel"/>
    <w:tmpl w:val="00000017"/>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3">
    <w:nsid w:val="00000026"/>
    <w:multiLevelType w:val="multilevel"/>
    <w:tmpl w:val="00000026"/>
    <w:lvl w:ilvl="0" w:tentative="0">
      <w:start w:val="1"/>
      <w:numFmt w:val="bullet"/>
      <w:lvlText w:val=""/>
      <w:lvlJc w:val="left"/>
      <w:pPr>
        <w:tabs>
          <w:tab w:val="left" w:pos="420"/>
        </w:tabs>
        <w:ind w:left="420" w:hanging="420"/>
      </w:pPr>
      <w:rPr>
        <w:rFonts w:hint="default" w:ascii="Wingdings" w:hAnsi="Wingdings"/>
      </w:rPr>
    </w:lvl>
    <w:lvl w:ilvl="1" w:tentative="0">
      <w:start w:val="2"/>
      <w:numFmt w:val="decimal"/>
      <w:lvlText w:val="%2."/>
      <w:lvlJc w:val="left"/>
      <w:pPr>
        <w:tabs>
          <w:tab w:val="left" w:pos="1320"/>
        </w:tabs>
        <w:ind w:left="1320" w:hanging="420"/>
      </w:pPr>
      <w:rPr>
        <w:rFonts w:hint="eastAsia"/>
      </w:rPr>
    </w:lvl>
    <w:lvl w:ilvl="2" w:tentative="0">
      <w:start w:val="1"/>
      <w:numFmt w:val="upperLetter"/>
      <w:lvlText w:val="%3、"/>
      <w:lvlJc w:val="left"/>
      <w:pPr>
        <w:tabs>
          <w:tab w:val="left" w:pos="1680"/>
        </w:tabs>
        <w:ind w:left="1680" w:hanging="360"/>
      </w:pPr>
      <w:rPr>
        <w:rFonts w:hint="eastAsia"/>
      </w:rPr>
    </w:lvl>
    <w:lvl w:ilvl="3" w:tentative="0">
      <w:start w:val="1"/>
      <w:numFmt w:val="decimal"/>
      <w:lvlText w:val="%4．"/>
      <w:lvlJc w:val="left"/>
      <w:pPr>
        <w:tabs>
          <w:tab w:val="left" w:pos="2100"/>
        </w:tabs>
        <w:ind w:left="2100" w:hanging="360"/>
      </w:pPr>
      <w:rPr>
        <w:rFonts w:ascii="宋体" w:hAnsi="宋体" w:eastAsia="宋体" w:cs="Arial"/>
        <w:b w:val="0"/>
      </w:rPr>
    </w:lvl>
    <w:lvl w:ilvl="4" w:tentative="0">
      <w:start w:val="1"/>
      <w:numFmt w:val="lowerLetter"/>
      <w:lvlText w:val="%5）"/>
      <w:lvlJc w:val="left"/>
      <w:pPr>
        <w:tabs>
          <w:tab w:val="left" w:pos="2520"/>
        </w:tabs>
        <w:ind w:left="2520" w:hanging="360"/>
      </w:pPr>
      <w:rPr>
        <w:rFonts w:hint="default"/>
      </w:rPr>
    </w:lvl>
    <w:lvl w:ilvl="5" w:tentative="0">
      <w:start w:val="1"/>
      <w:numFmt w:val="decimal"/>
      <w:lvlText w:val="%6."/>
      <w:lvlJc w:val="left"/>
      <w:pPr>
        <w:tabs>
          <w:tab w:val="left" w:pos="3000"/>
        </w:tabs>
        <w:ind w:left="3000" w:hanging="420"/>
      </w:pPr>
      <w:rPr>
        <w:rFonts w:hint="default"/>
      </w:rPr>
    </w:lvl>
    <w:lvl w:ilvl="6" w:tentative="0">
      <w:start w:val="1"/>
      <w:numFmt w:val="upperLetter"/>
      <w:lvlText w:val="%7）"/>
      <w:lvlJc w:val="left"/>
      <w:pPr>
        <w:tabs>
          <w:tab w:val="left" w:pos="3360"/>
        </w:tabs>
        <w:ind w:left="3360" w:hanging="360"/>
      </w:pPr>
      <w:rPr>
        <w:rFonts w:hint="default"/>
      </w:rPr>
    </w:lvl>
    <w:lvl w:ilvl="7" w:tentative="0">
      <w:start w:val="1"/>
      <w:numFmt w:val="lowerLetter"/>
      <w:lvlText w:val="%8)"/>
      <w:lvlJc w:val="left"/>
      <w:pPr>
        <w:tabs>
          <w:tab w:val="left" w:pos="3780"/>
        </w:tabs>
        <w:ind w:left="3780" w:hanging="360"/>
      </w:pPr>
      <w:rPr>
        <w:rFonts w:hint="default"/>
      </w:rPr>
    </w:lvl>
    <w:lvl w:ilvl="8" w:tentative="0">
      <w:start w:val="1"/>
      <w:numFmt w:val="decimal"/>
      <w:lvlText w:val="%9."/>
      <w:lvlJc w:val="left"/>
      <w:pPr>
        <w:tabs>
          <w:tab w:val="left" w:pos="4260"/>
        </w:tabs>
        <w:ind w:left="4260" w:hanging="420"/>
      </w:pPr>
      <w:rPr>
        <w:rFonts w:hint="default"/>
        <w:b w:val="0"/>
      </w:rPr>
    </w:lvl>
  </w:abstractNum>
  <w:abstractNum w:abstractNumId="4">
    <w:nsid w:val="0C6D6F10"/>
    <w:multiLevelType w:val="multilevel"/>
    <w:tmpl w:val="0C6D6F10"/>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920544"/>
    <w:multiLevelType w:val="multilevel"/>
    <w:tmpl w:val="16920544"/>
    <w:lvl w:ilvl="0" w:tentative="0">
      <w:start w:val="1"/>
      <w:numFmt w:val="decimal"/>
      <w:lvlText w:val="%1．"/>
      <w:lvlJc w:val="left"/>
      <w:pPr>
        <w:tabs>
          <w:tab w:val="left" w:pos="720"/>
        </w:tabs>
        <w:ind w:left="720" w:hanging="720"/>
      </w:pPr>
      <w:rPr>
        <w:rFonts w:hint="eastAsia" w:ascii="宋体" w:hAnsi="宋体"/>
        <w:b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A76635F"/>
    <w:multiLevelType w:val="multilevel"/>
    <w:tmpl w:val="1A76635F"/>
    <w:lvl w:ilvl="0" w:tentative="0">
      <w:start w:val="1"/>
      <w:numFmt w:val="decimal"/>
      <w:lvlText w:val="%1"/>
      <w:lvlJc w:val="left"/>
      <w:pPr>
        <w:tabs>
          <w:tab w:val="left" w:pos="420"/>
        </w:tabs>
        <w:ind w:left="420" w:hanging="420"/>
      </w:pPr>
      <w:rPr>
        <w:rFonts w:hint="eastAsia" w:ascii="宋体" w:hAnsi="宋体" w:eastAsia="宋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6B812A8"/>
    <w:multiLevelType w:val="multilevel"/>
    <w:tmpl w:val="26B812A8"/>
    <w:lvl w:ilvl="0" w:tentative="0">
      <w:start w:val="1"/>
      <w:numFmt w:val="decimal"/>
      <w:lvlText w:val="%1)"/>
      <w:lvlJc w:val="left"/>
      <w:pPr>
        <w:tabs>
          <w:tab w:val="left" w:pos="1935"/>
        </w:tabs>
        <w:ind w:left="1935" w:hanging="375"/>
      </w:pPr>
    </w:lvl>
    <w:lvl w:ilvl="1" w:tentative="0">
      <w:start w:val="1"/>
      <w:numFmt w:val="japaneseCounting"/>
      <w:lvlText w:val="%2、"/>
      <w:lvlJc w:val="left"/>
      <w:pPr>
        <w:tabs>
          <w:tab w:val="left" w:pos="826"/>
        </w:tabs>
        <w:ind w:left="826" w:hanging="720"/>
      </w:pPr>
      <w:rPr>
        <w:rFonts w:hint="default"/>
      </w:r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8">
    <w:nsid w:val="31F23FB4"/>
    <w:multiLevelType w:val="multilevel"/>
    <w:tmpl w:val="31F23FB4"/>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2)"/>
      <w:lvlJc w:val="left"/>
      <w:pPr>
        <w:tabs>
          <w:tab w:val="left" w:pos="680"/>
        </w:tabs>
        <w:ind w:left="680" w:hanging="396"/>
      </w:pPr>
      <w:rPr>
        <w:rFonts w:hint="eastAsia" w:ascii="宋体" w:eastAsia="宋体"/>
        <w:b w:val="0"/>
        <w:i w:val="0"/>
        <w:color w:val="000000"/>
        <w:sz w:val="21"/>
      </w:rPr>
    </w:lvl>
    <w:lvl w:ilvl="2" w:tentative="0">
      <w:start w:val="1"/>
      <w:numFmt w:val="decimal"/>
      <w:lvlText w:val="%1.%2.%3"/>
      <w:lvlJc w:val="left"/>
      <w:pPr>
        <w:tabs>
          <w:tab w:val="left" w:pos="720"/>
        </w:tabs>
        <w:ind w:left="420" w:hanging="420"/>
      </w:pPr>
      <w:rPr>
        <w:rFonts w:hint="eastAsia"/>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9">
    <w:nsid w:val="383934F3"/>
    <w:multiLevelType w:val="multilevel"/>
    <w:tmpl w:val="383934F3"/>
    <w:lvl w:ilvl="0" w:tentative="0">
      <w:start w:val="1"/>
      <w:numFmt w:val="decimal"/>
      <w:lvlText w:val="%1)"/>
      <w:lvlJc w:val="left"/>
      <w:pPr>
        <w:tabs>
          <w:tab w:val="left" w:pos="1935"/>
        </w:tabs>
        <w:ind w:left="1935" w:hanging="375"/>
      </w:p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0">
    <w:nsid w:val="3C5423C6"/>
    <w:multiLevelType w:val="singleLevel"/>
    <w:tmpl w:val="3C5423C6"/>
    <w:lvl w:ilvl="0" w:tentative="0">
      <w:start w:val="1"/>
      <w:numFmt w:val="decimal"/>
      <w:pStyle w:val="77"/>
      <w:lvlText w:val="%1、"/>
      <w:lvlJc w:val="left"/>
      <w:pPr>
        <w:tabs>
          <w:tab w:val="left" w:pos="948"/>
        </w:tabs>
        <w:ind w:left="948" w:hanging="360"/>
      </w:pPr>
      <w:rPr>
        <w:rFonts w:hint="eastAsia"/>
      </w:rPr>
    </w:lvl>
  </w:abstractNum>
  <w:abstractNum w:abstractNumId="11">
    <w:nsid w:val="40537C3D"/>
    <w:multiLevelType w:val="multilevel"/>
    <w:tmpl w:val="40537C3D"/>
    <w:lvl w:ilvl="0" w:tentative="0">
      <w:start w:val="1"/>
      <w:numFmt w:val="decimal"/>
      <w:lvlText w:val="%1）"/>
      <w:lvlJc w:val="left"/>
      <w:pPr>
        <w:tabs>
          <w:tab w:val="left" w:pos="1695"/>
        </w:tabs>
        <w:ind w:left="1695" w:hanging="420"/>
      </w:pPr>
      <w:rPr>
        <w:rFonts w:hint="eastAsia"/>
      </w:rPr>
    </w:lvl>
    <w:lvl w:ilvl="1" w:tentative="0">
      <w:start w:val="1"/>
      <w:numFmt w:val="lowerLetter"/>
      <w:lvlText w:val="%2)"/>
      <w:lvlJc w:val="left"/>
      <w:pPr>
        <w:tabs>
          <w:tab w:val="left" w:pos="1275"/>
        </w:tabs>
        <w:ind w:left="1275" w:hanging="420"/>
      </w:pPr>
      <w:rPr>
        <w:rFonts w:hint="eastAsia"/>
      </w:r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2">
    <w:nsid w:val="422E226D"/>
    <w:multiLevelType w:val="multilevel"/>
    <w:tmpl w:val="422E226D"/>
    <w:lvl w:ilvl="0" w:tentative="0">
      <w:start w:val="1"/>
      <w:numFmt w:val="bullet"/>
      <w:lvlText w:val=""/>
      <w:lvlJc w:val="left"/>
      <w:pPr>
        <w:tabs>
          <w:tab w:val="left" w:pos="780"/>
        </w:tabs>
        <w:ind w:left="780" w:hanging="420"/>
      </w:pPr>
      <w:rPr>
        <w:rFonts w:hint="default" w:ascii="Wingdings" w:hAnsi="Wingdings"/>
      </w:rPr>
    </w:lvl>
    <w:lvl w:ilvl="1" w:tentative="0">
      <w:start w:val="1"/>
      <w:numFmt w:val="bullet"/>
      <w:lvlText w:val=""/>
      <w:lvlJc w:val="left"/>
      <w:pPr>
        <w:tabs>
          <w:tab w:val="left" w:pos="1200"/>
        </w:tabs>
        <w:ind w:left="1200" w:hanging="420"/>
      </w:pPr>
      <w:rPr>
        <w:rFonts w:hint="default" w:ascii="Wingdings" w:hAnsi="Wingdings"/>
      </w:rPr>
    </w:lvl>
    <w:lvl w:ilvl="2" w:tentative="0">
      <w:start w:val="1"/>
      <w:numFmt w:val="bullet"/>
      <w:lvlText w:val=""/>
      <w:lvlJc w:val="left"/>
      <w:pPr>
        <w:tabs>
          <w:tab w:val="left" w:pos="1620"/>
        </w:tabs>
        <w:ind w:left="1620" w:hanging="420"/>
      </w:pPr>
      <w:rPr>
        <w:rFonts w:hint="default" w:ascii="Wingdings" w:hAnsi="Wingdings"/>
      </w:rPr>
    </w:lvl>
    <w:lvl w:ilvl="3" w:tentative="0">
      <w:start w:val="1"/>
      <w:numFmt w:val="bullet"/>
      <w:lvlText w:val=""/>
      <w:lvlJc w:val="left"/>
      <w:pPr>
        <w:tabs>
          <w:tab w:val="left" w:pos="2040"/>
        </w:tabs>
        <w:ind w:left="2040" w:hanging="420"/>
      </w:pPr>
      <w:rPr>
        <w:rFonts w:hint="default" w:ascii="Wingdings" w:hAnsi="Wingdings"/>
      </w:rPr>
    </w:lvl>
    <w:lvl w:ilvl="4" w:tentative="0">
      <w:start w:val="1"/>
      <w:numFmt w:val="bullet"/>
      <w:lvlText w:val=""/>
      <w:lvlJc w:val="left"/>
      <w:pPr>
        <w:tabs>
          <w:tab w:val="left" w:pos="2460"/>
        </w:tabs>
        <w:ind w:left="2460" w:hanging="420"/>
      </w:pPr>
      <w:rPr>
        <w:rFonts w:hint="default" w:ascii="Wingdings" w:hAnsi="Wingdings"/>
      </w:rPr>
    </w:lvl>
    <w:lvl w:ilvl="5" w:tentative="0">
      <w:start w:val="1"/>
      <w:numFmt w:val="bullet"/>
      <w:lvlText w:val=""/>
      <w:lvlJc w:val="left"/>
      <w:pPr>
        <w:tabs>
          <w:tab w:val="left" w:pos="2880"/>
        </w:tabs>
        <w:ind w:left="2880" w:hanging="420"/>
      </w:pPr>
      <w:rPr>
        <w:rFonts w:hint="default" w:ascii="Wingdings" w:hAnsi="Wingdings"/>
      </w:rPr>
    </w:lvl>
    <w:lvl w:ilvl="6" w:tentative="0">
      <w:start w:val="1"/>
      <w:numFmt w:val="bullet"/>
      <w:lvlText w:val=""/>
      <w:lvlJc w:val="left"/>
      <w:pPr>
        <w:tabs>
          <w:tab w:val="left" w:pos="3300"/>
        </w:tabs>
        <w:ind w:left="3300" w:hanging="420"/>
      </w:pPr>
      <w:rPr>
        <w:rFonts w:hint="default" w:ascii="Wingdings" w:hAnsi="Wingdings"/>
      </w:rPr>
    </w:lvl>
    <w:lvl w:ilvl="7" w:tentative="0">
      <w:start w:val="1"/>
      <w:numFmt w:val="bullet"/>
      <w:lvlText w:val=""/>
      <w:lvlJc w:val="left"/>
      <w:pPr>
        <w:tabs>
          <w:tab w:val="left" w:pos="3720"/>
        </w:tabs>
        <w:ind w:left="3720" w:hanging="420"/>
      </w:pPr>
      <w:rPr>
        <w:rFonts w:hint="default" w:ascii="Wingdings" w:hAnsi="Wingdings"/>
      </w:rPr>
    </w:lvl>
    <w:lvl w:ilvl="8" w:tentative="0">
      <w:start w:val="1"/>
      <w:numFmt w:val="bullet"/>
      <w:lvlText w:val=""/>
      <w:lvlJc w:val="left"/>
      <w:pPr>
        <w:tabs>
          <w:tab w:val="left" w:pos="4140"/>
        </w:tabs>
        <w:ind w:left="4140" w:hanging="420"/>
      </w:pPr>
      <w:rPr>
        <w:rFonts w:hint="default" w:ascii="Wingdings" w:hAnsi="Wingdings"/>
      </w:rPr>
    </w:lvl>
  </w:abstractNum>
  <w:abstractNum w:abstractNumId="13">
    <w:nsid w:val="4A8B0558"/>
    <w:multiLevelType w:val="multilevel"/>
    <w:tmpl w:val="4A8B0558"/>
    <w:lvl w:ilvl="0" w:tentative="0">
      <w:start w:val="1"/>
      <w:numFmt w:val="decimal"/>
      <w:lvlText w:val="%1)"/>
      <w:lvlJc w:val="left"/>
      <w:pPr>
        <w:tabs>
          <w:tab w:val="left" w:pos="1935"/>
        </w:tabs>
        <w:ind w:left="1935" w:hanging="37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0D70BCB"/>
    <w:multiLevelType w:val="multilevel"/>
    <w:tmpl w:val="50D70BCB"/>
    <w:lvl w:ilvl="0" w:tentative="0">
      <w:start w:val="1"/>
      <w:numFmt w:val="decimal"/>
      <w:lvlText w:val="%1)"/>
      <w:lvlJc w:val="left"/>
      <w:pPr>
        <w:tabs>
          <w:tab w:val="left" w:pos="1935"/>
        </w:tabs>
        <w:ind w:left="1935" w:hanging="375"/>
      </w:p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5">
    <w:nsid w:val="59000F98"/>
    <w:multiLevelType w:val="multilevel"/>
    <w:tmpl w:val="59000F98"/>
    <w:lvl w:ilvl="0" w:tentative="0">
      <w:start w:val="1"/>
      <w:numFmt w:val="decimal"/>
      <w:lvlText w:val="%1."/>
      <w:lvlJc w:val="left"/>
      <w:pPr>
        <w:tabs>
          <w:tab w:val="left" w:pos="425"/>
        </w:tabs>
        <w:ind w:left="425" w:hanging="425"/>
      </w:pPr>
      <w:rPr>
        <w:rFonts w:hint="default" w:ascii="Times New Roman" w:hAnsi="Times New Roman" w:cs="Times New Roman"/>
      </w:rPr>
    </w:lvl>
    <w:lvl w:ilvl="1" w:tentative="0">
      <w:start w:val="1"/>
      <w:numFmt w:val="decimal"/>
      <w:lvlText w:val="%1.%2"/>
      <w:lvlJc w:val="left"/>
      <w:pPr>
        <w:tabs>
          <w:tab w:val="left" w:pos="567"/>
        </w:tabs>
        <w:ind w:left="567" w:hanging="567"/>
      </w:pPr>
      <w:rPr>
        <w:rFonts w:hint="eastAsia" w:ascii="宋体" w:hAnsi="宋体" w:eastAsia="宋体" w:cs="宋体"/>
      </w:rPr>
    </w:lvl>
    <w:lvl w:ilvl="2" w:tentative="0">
      <w:start w:val="1"/>
      <w:numFmt w:val="decimal"/>
      <w:lvlText w:val="%1.%2.%3"/>
      <w:lvlJc w:val="left"/>
      <w:pPr>
        <w:tabs>
          <w:tab w:val="left" w:pos="709"/>
        </w:tabs>
        <w:ind w:left="709" w:hanging="709"/>
      </w:pPr>
      <w:rPr>
        <w:rFonts w:hint="eastAsia" w:ascii="宋体" w:hAnsi="宋体" w:eastAsia="宋体" w:cs="宋体"/>
      </w:rPr>
    </w:lvl>
    <w:lvl w:ilvl="3" w:tentative="0">
      <w:start w:val="1"/>
      <w:numFmt w:val="decimal"/>
      <w:lvlText w:val="%1.%2.%3.%4."/>
      <w:lvlJc w:val="left"/>
      <w:pPr>
        <w:tabs>
          <w:tab w:val="left" w:pos="850"/>
        </w:tabs>
        <w:ind w:left="850" w:hanging="850"/>
      </w:pPr>
      <w:rPr>
        <w:rFonts w:hint="default" w:ascii="Times New Roman" w:hAnsi="Times New Roman" w:cs="Times New Roman"/>
      </w:rPr>
    </w:lvl>
    <w:lvl w:ilvl="4" w:tentative="0">
      <w:start w:val="1"/>
      <w:numFmt w:val="decimal"/>
      <w:lvlText w:val="%1.%2.%3.%4.%5."/>
      <w:lvlJc w:val="left"/>
      <w:pPr>
        <w:tabs>
          <w:tab w:val="left" w:pos="991"/>
        </w:tabs>
        <w:ind w:left="991" w:hanging="991"/>
      </w:pPr>
      <w:rPr>
        <w:rFonts w:hint="default" w:ascii="Times New Roman" w:hAnsi="Times New Roman" w:cs="Times New Roman"/>
      </w:rPr>
    </w:lvl>
    <w:lvl w:ilvl="5" w:tentative="0">
      <w:start w:val="1"/>
      <w:numFmt w:val="decimal"/>
      <w:lvlText w:val="%1.%2.%3.%4.%5.%6."/>
      <w:lvlJc w:val="left"/>
      <w:pPr>
        <w:tabs>
          <w:tab w:val="left" w:pos="1134"/>
        </w:tabs>
        <w:ind w:left="1134" w:hanging="1134"/>
      </w:pPr>
      <w:rPr>
        <w:rFonts w:hint="default" w:ascii="Times New Roman" w:hAnsi="Times New Roman" w:cs="Times New Roman"/>
      </w:rPr>
    </w:lvl>
    <w:lvl w:ilvl="6" w:tentative="0">
      <w:start w:val="1"/>
      <w:numFmt w:val="decimal"/>
      <w:lvlText w:val="%1.%2.%3.%4.%5.%6.%7."/>
      <w:lvlJc w:val="left"/>
      <w:pPr>
        <w:tabs>
          <w:tab w:val="left" w:pos="1275"/>
        </w:tabs>
        <w:ind w:left="1275" w:hanging="1275"/>
      </w:pPr>
      <w:rPr>
        <w:rFonts w:hint="default" w:ascii="Times New Roman" w:hAnsi="Times New Roman" w:cs="Times New Roman"/>
      </w:rPr>
    </w:lvl>
    <w:lvl w:ilvl="7" w:tentative="0">
      <w:start w:val="1"/>
      <w:numFmt w:val="decimal"/>
      <w:lvlText w:val="%1.%2.%3.%4.%5.%6.%7.%8."/>
      <w:lvlJc w:val="left"/>
      <w:pPr>
        <w:tabs>
          <w:tab w:val="left" w:pos="1418"/>
        </w:tabs>
        <w:ind w:left="1418" w:hanging="1418"/>
      </w:pPr>
      <w:rPr>
        <w:rFonts w:hint="default" w:ascii="Times New Roman" w:hAnsi="Times New Roman" w:cs="Times New Roman"/>
      </w:rPr>
    </w:lvl>
    <w:lvl w:ilvl="8" w:tentative="0">
      <w:start w:val="1"/>
      <w:numFmt w:val="decimal"/>
      <w:lvlText w:val="%1.%2.%3.%4.%5.%6.%7.%8.%9."/>
      <w:lvlJc w:val="left"/>
      <w:pPr>
        <w:tabs>
          <w:tab w:val="left" w:pos="1558"/>
        </w:tabs>
        <w:ind w:left="1558" w:hanging="1558"/>
      </w:pPr>
      <w:rPr>
        <w:rFonts w:hint="default" w:ascii="Times New Roman" w:hAnsi="Times New Roman" w:cs="Times New Roman"/>
      </w:rPr>
    </w:lvl>
  </w:abstractNum>
  <w:abstractNum w:abstractNumId="16">
    <w:nsid w:val="59000FB9"/>
    <w:multiLevelType w:val="multilevel"/>
    <w:tmpl w:val="59000FB9"/>
    <w:lvl w:ilvl="0" w:tentative="0">
      <w:start w:val="1"/>
      <w:numFmt w:val="decimal"/>
      <w:lvlText w:val="%1)"/>
      <w:lvlJc w:val="left"/>
      <w:pPr>
        <w:tabs>
          <w:tab w:val="left" w:pos="780"/>
        </w:tabs>
        <w:ind w:left="780" w:hanging="360"/>
      </w:pPr>
      <w:rPr>
        <w:rFonts w:hint="default" w:ascii="Times New Roman" w:hAnsi="Times New Roman" w:cs="Times New Roman"/>
        <w:color w:val="000000"/>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7">
    <w:nsid w:val="59DAD65D"/>
    <w:multiLevelType w:val="multilevel"/>
    <w:tmpl w:val="59DAD65D"/>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9DAD774"/>
    <w:multiLevelType w:val="multilevel"/>
    <w:tmpl w:val="59DAD774"/>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9DB3B20"/>
    <w:multiLevelType w:val="multilevel"/>
    <w:tmpl w:val="59DB3B20"/>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1777D98"/>
    <w:multiLevelType w:val="multilevel"/>
    <w:tmpl w:val="61777D98"/>
    <w:lvl w:ilvl="0" w:tentative="0">
      <w:start w:val="1"/>
      <w:numFmt w:val="japaneseCounting"/>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6232511"/>
    <w:multiLevelType w:val="multilevel"/>
    <w:tmpl w:val="66232511"/>
    <w:lvl w:ilvl="0" w:tentative="0">
      <w:start w:val="1"/>
      <w:numFmt w:val="decimal"/>
      <w:pStyle w:val="79"/>
      <w:lvlText w:val="3.%1."/>
      <w:lvlJc w:val="left"/>
      <w:pPr>
        <w:tabs>
          <w:tab w:val="left" w:pos="510"/>
        </w:tabs>
        <w:ind w:left="510" w:hanging="510"/>
      </w:pPr>
      <w:rPr>
        <w:rFonts w:hint="eastAsia"/>
      </w:rPr>
    </w:lvl>
    <w:lvl w:ilvl="1" w:tentative="0">
      <w:start w:val="1"/>
      <w:numFmt w:val="decimal"/>
      <w:lvlText w:val="%2."/>
      <w:lvlJc w:val="left"/>
      <w:pPr>
        <w:tabs>
          <w:tab w:val="left" w:pos="840"/>
        </w:tabs>
        <w:ind w:left="840" w:hanging="420"/>
      </w:pPr>
    </w:lvl>
    <w:lvl w:ilvl="2" w:tentative="0">
      <w:start w:val="1"/>
      <w:numFmt w:val="japaneseCounting"/>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AFA421E"/>
    <w:multiLevelType w:val="multilevel"/>
    <w:tmpl w:val="6AFA421E"/>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23">
    <w:nsid w:val="741C1452"/>
    <w:multiLevelType w:val="multilevel"/>
    <w:tmpl w:val="741C1452"/>
    <w:lvl w:ilvl="0" w:tentative="0">
      <w:start w:val="1"/>
      <w:numFmt w:val="bullet"/>
      <w:lvlText w:val=""/>
      <w:lvlJc w:val="left"/>
      <w:pPr>
        <w:tabs>
          <w:tab w:val="left" w:pos="780"/>
        </w:tabs>
        <w:ind w:left="780" w:hanging="420"/>
      </w:pPr>
      <w:rPr>
        <w:rFonts w:hint="default" w:ascii="Wingdings" w:hAnsi="Wingdings"/>
      </w:rPr>
    </w:lvl>
    <w:lvl w:ilvl="1" w:tentative="0">
      <w:start w:val="1"/>
      <w:numFmt w:val="decimal"/>
      <w:lvlText w:val="（%2）"/>
      <w:lvlJc w:val="left"/>
      <w:pPr>
        <w:tabs>
          <w:tab w:val="left" w:pos="1860"/>
        </w:tabs>
        <w:ind w:left="1860" w:hanging="720"/>
      </w:pPr>
      <w:rPr>
        <w:rFonts w:hint="eastAsia"/>
      </w:rPr>
    </w:lvl>
    <w:lvl w:ilvl="2" w:tentative="0">
      <w:start w:val="1"/>
      <w:numFmt w:val="decimal"/>
      <w:lvlText w:val="%3、"/>
      <w:lvlJc w:val="left"/>
      <w:pPr>
        <w:tabs>
          <w:tab w:val="left" w:pos="1920"/>
        </w:tabs>
        <w:ind w:left="1920" w:hanging="360"/>
      </w:pPr>
      <w:rPr>
        <w:rFonts w:hint="default"/>
      </w:rPr>
    </w:lvl>
    <w:lvl w:ilvl="3" w:tentative="0">
      <w:start w:val="1"/>
      <w:numFmt w:val="decimal"/>
      <w:lvlText w:val="%4."/>
      <w:lvlJc w:val="left"/>
      <w:pPr>
        <w:tabs>
          <w:tab w:val="left" w:pos="2400"/>
        </w:tabs>
        <w:ind w:left="2400" w:hanging="420"/>
      </w:pPr>
      <w:rPr>
        <w:rFonts w:hint="default"/>
      </w:rPr>
    </w:lvl>
    <w:lvl w:ilvl="4" w:tentative="0">
      <w:start w:val="1"/>
      <w:numFmt w:val="decimal"/>
      <w:lvlText w:val="%5)"/>
      <w:lvlJc w:val="left"/>
      <w:pPr>
        <w:tabs>
          <w:tab w:val="left" w:pos="2820"/>
        </w:tabs>
        <w:ind w:left="2820" w:hanging="420"/>
      </w:pPr>
      <w:rPr>
        <w:rFonts w:hint="default"/>
      </w:rPr>
    </w:lvl>
    <w:lvl w:ilvl="5" w:tentative="0">
      <w:start w:val="1"/>
      <w:numFmt w:val="decimal"/>
      <w:lvlText w:val="%6)"/>
      <w:lvlJc w:val="left"/>
      <w:pPr>
        <w:tabs>
          <w:tab w:val="left" w:pos="3450"/>
        </w:tabs>
        <w:ind w:left="3450" w:hanging="630"/>
      </w:pPr>
      <w:rPr>
        <w:rFonts w:hint="default"/>
      </w:r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24">
    <w:nsid w:val="747E4A1C"/>
    <w:multiLevelType w:val="multilevel"/>
    <w:tmpl w:val="747E4A1C"/>
    <w:lvl w:ilvl="0" w:tentative="0">
      <w:start w:val="1"/>
      <w:numFmt w:val="decimal"/>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0"/>
  </w:num>
  <w:num w:numId="2">
    <w:abstractNumId w:val="21"/>
  </w:num>
  <w:num w:numId="3">
    <w:abstractNumId w:val="8"/>
  </w:num>
  <w:num w:numId="4">
    <w:abstractNumId w:val="12"/>
  </w:num>
  <w:num w:numId="5">
    <w:abstractNumId w:val="23"/>
  </w:num>
  <w:num w:numId="6">
    <w:abstractNumId w:val="11"/>
  </w:num>
  <w:num w:numId="7">
    <w:abstractNumId w:val="22"/>
  </w:num>
  <w:num w:numId="8">
    <w:abstractNumId w:val="2"/>
  </w:num>
  <w:num w:numId="9">
    <w:abstractNumId w:val="16"/>
  </w:num>
  <w:num w:numId="10">
    <w:abstractNumId w:val="15"/>
  </w:num>
  <w:num w:numId="11">
    <w:abstractNumId w:val="17"/>
  </w:num>
  <w:num w:numId="12">
    <w:abstractNumId w:val="19"/>
  </w:num>
  <w:num w:numId="13">
    <w:abstractNumId w:val="18"/>
  </w:num>
  <w:num w:numId="14">
    <w:abstractNumId w:val="3"/>
  </w:num>
  <w:num w:numId="15">
    <w:abstractNumId w:val="13"/>
  </w:num>
  <w:num w:numId="16">
    <w:abstractNumId w:val="9"/>
  </w:num>
  <w:num w:numId="17">
    <w:abstractNumId w:val="7"/>
  </w:num>
  <w:num w:numId="18">
    <w:abstractNumId w:val="14"/>
  </w:num>
  <w:num w:numId="19">
    <w:abstractNumId w:val="0"/>
  </w:num>
  <w:num w:numId="20">
    <w:abstractNumId w:val="1"/>
  </w:num>
  <w:num w:numId="21">
    <w:abstractNumId w:val="24"/>
  </w:num>
  <w:num w:numId="22">
    <w:abstractNumId w:val="20"/>
    <w:lvlOverride w:ilvl="0">
      <w:startOverride w:val="1"/>
    </w:lvlOverride>
  </w:num>
  <w:num w:numId="23">
    <w:abstractNumId w:val="5"/>
  </w:num>
  <w:num w:numId="24">
    <w:abstractNumId w:val="6"/>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gutterAtTop/>
  <w:documentProtection w:enforcement="0"/>
  <w:defaultTabStop w:val="720"/>
  <w:drawingGridHorizontalSpacing w:val="106"/>
  <w:drawingGridVerticalSpacing w:val="143"/>
  <w:displayHorizontalDrawingGridEvery w:val="1"/>
  <w:displayVerticalDrawingGridEvery w:val="1"/>
  <w:noPunctuationKerning w:val="1"/>
  <w:characterSpacingControl w:val="doNotCompress"/>
  <w:compat>
    <w:spaceForUL/>
    <w:doNotLeaveBackslashAlon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OTIyZjJiOTdhZmQ3MDQ5ZjllN2JjMzcyMDI5MTgifQ=="/>
  </w:docVars>
  <w:rsids>
    <w:rsidRoot w:val="00172A27"/>
    <w:rsid w:val="000B08AA"/>
    <w:rsid w:val="00172A27"/>
    <w:rsid w:val="00514A3E"/>
    <w:rsid w:val="0084018D"/>
    <w:rsid w:val="00B73F02"/>
    <w:rsid w:val="00DF3FE6"/>
    <w:rsid w:val="00E162A8"/>
    <w:rsid w:val="00F01F19"/>
    <w:rsid w:val="00F34F25"/>
    <w:rsid w:val="01260D81"/>
    <w:rsid w:val="015C2B0C"/>
    <w:rsid w:val="01AA4525"/>
    <w:rsid w:val="01DD3C4D"/>
    <w:rsid w:val="01E054EB"/>
    <w:rsid w:val="022046BD"/>
    <w:rsid w:val="024C0284"/>
    <w:rsid w:val="02AA6D3C"/>
    <w:rsid w:val="02C052D6"/>
    <w:rsid w:val="02E92692"/>
    <w:rsid w:val="032D26DE"/>
    <w:rsid w:val="034B0097"/>
    <w:rsid w:val="04C904B8"/>
    <w:rsid w:val="04EF57DC"/>
    <w:rsid w:val="056B7B40"/>
    <w:rsid w:val="05A54A82"/>
    <w:rsid w:val="05CA2F3A"/>
    <w:rsid w:val="061F0798"/>
    <w:rsid w:val="06EE3DF9"/>
    <w:rsid w:val="09FB77FE"/>
    <w:rsid w:val="0AAC53BE"/>
    <w:rsid w:val="0AC82B4E"/>
    <w:rsid w:val="0B3A7D2C"/>
    <w:rsid w:val="0C221ABF"/>
    <w:rsid w:val="0C3F5D88"/>
    <w:rsid w:val="0CBA72FC"/>
    <w:rsid w:val="0CD65703"/>
    <w:rsid w:val="0DAA36D4"/>
    <w:rsid w:val="0E5666B1"/>
    <w:rsid w:val="0F654B13"/>
    <w:rsid w:val="0F8B2B91"/>
    <w:rsid w:val="0FBA737B"/>
    <w:rsid w:val="0FE836F8"/>
    <w:rsid w:val="10563548"/>
    <w:rsid w:val="10AA7670"/>
    <w:rsid w:val="10D513F2"/>
    <w:rsid w:val="11885BCB"/>
    <w:rsid w:val="11CB3F47"/>
    <w:rsid w:val="126637EB"/>
    <w:rsid w:val="134A0B53"/>
    <w:rsid w:val="145A17B9"/>
    <w:rsid w:val="15792E04"/>
    <w:rsid w:val="15910B7E"/>
    <w:rsid w:val="16712A58"/>
    <w:rsid w:val="17FD074D"/>
    <w:rsid w:val="18786866"/>
    <w:rsid w:val="192E143C"/>
    <w:rsid w:val="1A016178"/>
    <w:rsid w:val="1ADE1ECC"/>
    <w:rsid w:val="1AF743F8"/>
    <w:rsid w:val="1B92530D"/>
    <w:rsid w:val="1C5B5A42"/>
    <w:rsid w:val="1C6449AB"/>
    <w:rsid w:val="1D28151D"/>
    <w:rsid w:val="1D8549D2"/>
    <w:rsid w:val="1DDE27AD"/>
    <w:rsid w:val="1E1B79C3"/>
    <w:rsid w:val="1E9B52C5"/>
    <w:rsid w:val="1F136853"/>
    <w:rsid w:val="20D83B05"/>
    <w:rsid w:val="21623861"/>
    <w:rsid w:val="22A5346E"/>
    <w:rsid w:val="22CA07DE"/>
    <w:rsid w:val="239824D2"/>
    <w:rsid w:val="242B25CC"/>
    <w:rsid w:val="2460357A"/>
    <w:rsid w:val="25011DF3"/>
    <w:rsid w:val="26E768BB"/>
    <w:rsid w:val="27886099"/>
    <w:rsid w:val="27A6495D"/>
    <w:rsid w:val="27AE3DD0"/>
    <w:rsid w:val="281F7C78"/>
    <w:rsid w:val="28893937"/>
    <w:rsid w:val="293614E5"/>
    <w:rsid w:val="2A09360A"/>
    <w:rsid w:val="2A1476E0"/>
    <w:rsid w:val="2A306760"/>
    <w:rsid w:val="2C73502A"/>
    <w:rsid w:val="2C975AB8"/>
    <w:rsid w:val="2D2500D2"/>
    <w:rsid w:val="30CA66EF"/>
    <w:rsid w:val="315C725A"/>
    <w:rsid w:val="33ED5D38"/>
    <w:rsid w:val="34196EF8"/>
    <w:rsid w:val="347A2453"/>
    <w:rsid w:val="34AF2AA7"/>
    <w:rsid w:val="356B5799"/>
    <w:rsid w:val="36D40690"/>
    <w:rsid w:val="39930472"/>
    <w:rsid w:val="39CF217E"/>
    <w:rsid w:val="3A44127E"/>
    <w:rsid w:val="3A53133D"/>
    <w:rsid w:val="3ACA21B7"/>
    <w:rsid w:val="3B0E0935"/>
    <w:rsid w:val="3B1F0CA8"/>
    <w:rsid w:val="3C575DCE"/>
    <w:rsid w:val="3CBF346F"/>
    <w:rsid w:val="3CE86893"/>
    <w:rsid w:val="3D473898"/>
    <w:rsid w:val="40396EA0"/>
    <w:rsid w:val="40693F9A"/>
    <w:rsid w:val="418B2469"/>
    <w:rsid w:val="41C60D5B"/>
    <w:rsid w:val="42FF74D8"/>
    <w:rsid w:val="44655F7C"/>
    <w:rsid w:val="44D34F56"/>
    <w:rsid w:val="4598072C"/>
    <w:rsid w:val="460C7773"/>
    <w:rsid w:val="48077C0B"/>
    <w:rsid w:val="48FC6A73"/>
    <w:rsid w:val="4A34085B"/>
    <w:rsid w:val="4A4714C2"/>
    <w:rsid w:val="4C2B3170"/>
    <w:rsid w:val="4C625902"/>
    <w:rsid w:val="4D421436"/>
    <w:rsid w:val="4DAF0B57"/>
    <w:rsid w:val="4DBF769C"/>
    <w:rsid w:val="4DCB51C5"/>
    <w:rsid w:val="4DD03B68"/>
    <w:rsid w:val="4E361368"/>
    <w:rsid w:val="4E571C5E"/>
    <w:rsid w:val="4F3A75B6"/>
    <w:rsid w:val="4F6A1F4B"/>
    <w:rsid w:val="4F7C5325"/>
    <w:rsid w:val="4FBD1F95"/>
    <w:rsid w:val="4FD51ACF"/>
    <w:rsid w:val="4FF754A7"/>
    <w:rsid w:val="50C57353"/>
    <w:rsid w:val="52BF5398"/>
    <w:rsid w:val="53A81B27"/>
    <w:rsid w:val="551630F7"/>
    <w:rsid w:val="56566239"/>
    <w:rsid w:val="56927E3F"/>
    <w:rsid w:val="572F3778"/>
    <w:rsid w:val="57961BE1"/>
    <w:rsid w:val="594942A9"/>
    <w:rsid w:val="59541AD1"/>
    <w:rsid w:val="599658B9"/>
    <w:rsid w:val="5B5A20E6"/>
    <w:rsid w:val="5CFA4626"/>
    <w:rsid w:val="5EEF0BCC"/>
    <w:rsid w:val="60471B32"/>
    <w:rsid w:val="60CD3AF2"/>
    <w:rsid w:val="62755C82"/>
    <w:rsid w:val="62832BCA"/>
    <w:rsid w:val="63443487"/>
    <w:rsid w:val="635D166D"/>
    <w:rsid w:val="65206DF6"/>
    <w:rsid w:val="677F4370"/>
    <w:rsid w:val="682739E4"/>
    <w:rsid w:val="6AE430B9"/>
    <w:rsid w:val="6B7E0929"/>
    <w:rsid w:val="6BF045E2"/>
    <w:rsid w:val="6BF072C4"/>
    <w:rsid w:val="6C567E88"/>
    <w:rsid w:val="6C66473B"/>
    <w:rsid w:val="6CA976D1"/>
    <w:rsid w:val="6CFF15AA"/>
    <w:rsid w:val="6FC47DA3"/>
    <w:rsid w:val="6FDA0E73"/>
    <w:rsid w:val="6FFC1638"/>
    <w:rsid w:val="704C7951"/>
    <w:rsid w:val="70BE6B62"/>
    <w:rsid w:val="70E926F4"/>
    <w:rsid w:val="71363B30"/>
    <w:rsid w:val="715440AF"/>
    <w:rsid w:val="71C0087A"/>
    <w:rsid w:val="71FF3CA9"/>
    <w:rsid w:val="725E2D0C"/>
    <w:rsid w:val="72D6199B"/>
    <w:rsid w:val="72DF3E4C"/>
    <w:rsid w:val="73E6120B"/>
    <w:rsid w:val="742E7FAE"/>
    <w:rsid w:val="75721BE7"/>
    <w:rsid w:val="75775357"/>
    <w:rsid w:val="77904808"/>
    <w:rsid w:val="788F0BF6"/>
    <w:rsid w:val="78A91184"/>
    <w:rsid w:val="78CF4397"/>
    <w:rsid w:val="79603DC0"/>
    <w:rsid w:val="79920AA5"/>
    <w:rsid w:val="7AB84964"/>
    <w:rsid w:val="7B6744E5"/>
    <w:rsid w:val="7C027D1F"/>
    <w:rsid w:val="7C393BD7"/>
    <w:rsid w:val="7C924573"/>
    <w:rsid w:val="7CF831D8"/>
    <w:rsid w:val="7DE535E5"/>
    <w:rsid w:val="7E6849FC"/>
    <w:rsid w:val="7F730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lang w:val="en-US" w:eastAsia="zh-CN" w:bidi="ar-SA"/>
    </w:rPr>
  </w:style>
  <w:style w:type="paragraph" w:styleId="3">
    <w:name w:val="heading 1"/>
    <w:basedOn w:val="1"/>
    <w:next w:val="1"/>
    <w:qFormat/>
    <w:uiPriority w:val="0"/>
    <w:pPr>
      <w:keepNext/>
      <w:keepLines/>
      <w:widowControl w:val="0"/>
      <w:tabs>
        <w:tab w:val="left" w:pos="840"/>
      </w:tabs>
      <w:adjustRightInd w:val="0"/>
      <w:snapToGrid w:val="0"/>
      <w:spacing w:line="360" w:lineRule="auto"/>
      <w:jc w:val="both"/>
      <w:outlineLvl w:val="0"/>
    </w:pPr>
    <w:rPr>
      <w:rFonts w:ascii="宋体" w:hAnsi="宋体"/>
      <w:b/>
      <w:kern w:val="44"/>
      <w:sz w:val="24"/>
    </w:rPr>
  </w:style>
  <w:style w:type="paragraph" w:styleId="4">
    <w:name w:val="heading 2"/>
    <w:basedOn w:val="1"/>
    <w:next w:val="5"/>
    <w:autoRedefine/>
    <w:qFormat/>
    <w:uiPriority w:val="0"/>
    <w:pPr>
      <w:keepNext/>
      <w:keepLines/>
      <w:adjustRightInd w:val="0"/>
      <w:snapToGrid w:val="0"/>
      <w:spacing w:before="120" w:beforeLines="50" w:after="120" w:afterLines="50" w:line="360" w:lineRule="auto"/>
      <w:jc w:val="center"/>
      <w:outlineLvl w:val="1"/>
    </w:pPr>
    <w:rPr>
      <w:rFonts w:ascii="宋体" w:hAnsi="宋体" w:cs="Arial"/>
      <w:b/>
      <w:color w:val="000000"/>
      <w:sz w:val="30"/>
      <w:szCs w:val="30"/>
    </w:rPr>
  </w:style>
  <w:style w:type="paragraph" w:styleId="6">
    <w:name w:val="heading 3"/>
    <w:basedOn w:val="1"/>
    <w:next w:val="1"/>
    <w:autoRedefine/>
    <w:qFormat/>
    <w:uiPriority w:val="0"/>
    <w:pPr>
      <w:widowControl w:val="0"/>
      <w:tabs>
        <w:tab w:val="left" w:pos="851"/>
      </w:tabs>
      <w:autoSpaceDE w:val="0"/>
      <w:autoSpaceDN w:val="0"/>
      <w:adjustRightInd w:val="0"/>
      <w:snapToGrid w:val="0"/>
      <w:spacing w:line="360" w:lineRule="auto"/>
      <w:ind w:left="851" w:hanging="851"/>
      <w:jc w:val="both"/>
      <w:outlineLvl w:val="2"/>
    </w:pPr>
    <w:rPr>
      <w:rFonts w:ascii="宋体"/>
      <w:snapToGrid w:val="0"/>
    </w:rPr>
  </w:style>
  <w:style w:type="paragraph" w:styleId="7">
    <w:name w:val="heading 4"/>
    <w:basedOn w:val="1"/>
    <w:next w:val="5"/>
    <w:autoRedefine/>
    <w:qFormat/>
    <w:uiPriority w:val="0"/>
    <w:pPr>
      <w:widowControl w:val="0"/>
      <w:tabs>
        <w:tab w:val="left" w:pos="864"/>
      </w:tabs>
      <w:autoSpaceDE w:val="0"/>
      <w:autoSpaceDN w:val="0"/>
      <w:adjustRightInd w:val="0"/>
      <w:snapToGrid w:val="0"/>
      <w:spacing w:line="360" w:lineRule="auto"/>
      <w:ind w:left="864" w:hanging="864"/>
      <w:jc w:val="both"/>
      <w:outlineLvl w:val="3"/>
    </w:pPr>
    <w:rPr>
      <w:rFonts w:ascii="宋体" w:hAnsi="Arial"/>
      <w:snapToGrid w:val="0"/>
      <w:color w:val="000000"/>
    </w:rPr>
  </w:style>
  <w:style w:type="paragraph" w:styleId="8">
    <w:name w:val="heading 5"/>
    <w:basedOn w:val="1"/>
    <w:next w:val="5"/>
    <w:autoRedefine/>
    <w:qFormat/>
    <w:uiPriority w:val="0"/>
    <w:pPr>
      <w:keepNext/>
      <w:widowControl w:val="0"/>
      <w:tabs>
        <w:tab w:val="left" w:pos="1008"/>
      </w:tabs>
      <w:autoSpaceDE w:val="0"/>
      <w:autoSpaceDN w:val="0"/>
      <w:adjustRightInd w:val="0"/>
      <w:snapToGrid w:val="0"/>
      <w:spacing w:before="280" w:after="290" w:line="376" w:lineRule="auto"/>
      <w:ind w:left="1008" w:hanging="1008"/>
      <w:jc w:val="both"/>
      <w:outlineLvl w:val="4"/>
    </w:pPr>
    <w:rPr>
      <w:rFonts w:ascii="宋体"/>
      <w:b/>
      <w:snapToGrid w:val="0"/>
      <w:color w:val="000000"/>
      <w:sz w:val="28"/>
    </w:rPr>
  </w:style>
  <w:style w:type="paragraph" w:styleId="9">
    <w:name w:val="heading 6"/>
    <w:basedOn w:val="1"/>
    <w:next w:val="5"/>
    <w:autoRedefine/>
    <w:qFormat/>
    <w:uiPriority w:val="0"/>
    <w:pPr>
      <w:keepNext/>
      <w:widowControl w:val="0"/>
      <w:tabs>
        <w:tab w:val="left" w:pos="1152"/>
      </w:tabs>
      <w:autoSpaceDE w:val="0"/>
      <w:autoSpaceDN w:val="0"/>
      <w:adjustRightInd w:val="0"/>
      <w:snapToGrid w:val="0"/>
      <w:spacing w:before="240" w:after="64" w:line="320" w:lineRule="auto"/>
      <w:ind w:left="1152" w:hanging="1152"/>
      <w:jc w:val="both"/>
      <w:outlineLvl w:val="5"/>
    </w:pPr>
    <w:rPr>
      <w:rFonts w:ascii="Arial" w:hAnsi="Arial" w:eastAsia="黑体"/>
      <w:b/>
      <w:snapToGrid w:val="0"/>
      <w:color w:val="000000"/>
      <w:sz w:val="24"/>
    </w:rPr>
  </w:style>
  <w:style w:type="paragraph" w:styleId="10">
    <w:name w:val="heading 7"/>
    <w:basedOn w:val="1"/>
    <w:next w:val="5"/>
    <w:autoRedefine/>
    <w:qFormat/>
    <w:uiPriority w:val="0"/>
    <w:pPr>
      <w:keepNext/>
      <w:widowControl w:val="0"/>
      <w:tabs>
        <w:tab w:val="left" w:pos="1296"/>
      </w:tabs>
      <w:autoSpaceDE w:val="0"/>
      <w:autoSpaceDN w:val="0"/>
      <w:adjustRightInd w:val="0"/>
      <w:snapToGrid w:val="0"/>
      <w:spacing w:before="240" w:after="64" w:line="320" w:lineRule="auto"/>
      <w:ind w:left="1296" w:hanging="1296"/>
      <w:jc w:val="both"/>
      <w:outlineLvl w:val="6"/>
    </w:pPr>
    <w:rPr>
      <w:rFonts w:ascii="宋体"/>
      <w:b/>
      <w:snapToGrid w:val="0"/>
      <w:color w:val="000000"/>
      <w:sz w:val="24"/>
    </w:rPr>
  </w:style>
  <w:style w:type="paragraph" w:styleId="11">
    <w:name w:val="heading 8"/>
    <w:basedOn w:val="1"/>
    <w:next w:val="5"/>
    <w:autoRedefine/>
    <w:qFormat/>
    <w:uiPriority w:val="0"/>
    <w:pPr>
      <w:keepNext/>
      <w:widowControl w:val="0"/>
      <w:tabs>
        <w:tab w:val="left" w:pos="1440"/>
      </w:tabs>
      <w:autoSpaceDE w:val="0"/>
      <w:autoSpaceDN w:val="0"/>
      <w:adjustRightInd w:val="0"/>
      <w:snapToGrid w:val="0"/>
      <w:spacing w:before="240" w:after="64" w:line="320" w:lineRule="auto"/>
      <w:ind w:left="1440" w:hanging="1440"/>
      <w:jc w:val="both"/>
      <w:outlineLvl w:val="7"/>
    </w:pPr>
    <w:rPr>
      <w:rFonts w:ascii="Arial" w:hAnsi="Arial" w:eastAsia="黑体"/>
      <w:snapToGrid w:val="0"/>
      <w:color w:val="000000"/>
      <w:sz w:val="24"/>
    </w:rPr>
  </w:style>
  <w:style w:type="paragraph" w:styleId="12">
    <w:name w:val="heading 9"/>
    <w:basedOn w:val="1"/>
    <w:next w:val="5"/>
    <w:autoRedefine/>
    <w:qFormat/>
    <w:uiPriority w:val="0"/>
    <w:pPr>
      <w:keepNext/>
      <w:widowControl w:val="0"/>
      <w:tabs>
        <w:tab w:val="left" w:pos="1584"/>
      </w:tabs>
      <w:autoSpaceDE w:val="0"/>
      <w:autoSpaceDN w:val="0"/>
      <w:adjustRightInd w:val="0"/>
      <w:snapToGrid w:val="0"/>
      <w:spacing w:before="240" w:after="64" w:line="320" w:lineRule="auto"/>
      <w:ind w:left="1584" w:hanging="1584"/>
      <w:jc w:val="both"/>
      <w:outlineLvl w:val="8"/>
    </w:pPr>
    <w:rPr>
      <w:rFonts w:ascii="Arial" w:hAnsi="Arial" w:eastAsia="黑体"/>
      <w:snapToGrid w:val="0"/>
      <w:color w:val="000000"/>
    </w:rPr>
  </w:style>
  <w:style w:type="character" w:default="1" w:styleId="43">
    <w:name w:val="Default Paragraph Font"/>
    <w:autoRedefine/>
    <w:semiHidden/>
    <w:unhideWhenUsed/>
    <w:qFormat/>
    <w:uiPriority w:val="1"/>
  </w:style>
  <w:style w:type="table" w:default="1" w:styleId="4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widowControl w:val="0"/>
      <w:jc w:val="both"/>
    </w:pPr>
    <w:rPr>
      <w:kern w:val="2"/>
      <w:sz w:val="28"/>
    </w:rPr>
  </w:style>
  <w:style w:type="paragraph" w:styleId="5">
    <w:name w:val="Normal Indent"/>
    <w:basedOn w:val="1"/>
    <w:link w:val="91"/>
    <w:autoRedefine/>
    <w:qFormat/>
    <w:uiPriority w:val="0"/>
    <w:pPr>
      <w:ind w:left="720"/>
    </w:pPr>
  </w:style>
  <w:style w:type="paragraph" w:styleId="13">
    <w:name w:val="toc 7"/>
    <w:basedOn w:val="1"/>
    <w:next w:val="1"/>
    <w:autoRedefine/>
    <w:semiHidden/>
    <w:qFormat/>
    <w:uiPriority w:val="0"/>
    <w:pPr>
      <w:widowControl w:val="0"/>
      <w:ind w:left="2520"/>
      <w:jc w:val="both"/>
    </w:pPr>
    <w:rPr>
      <w:kern w:val="2"/>
    </w:rPr>
  </w:style>
  <w:style w:type="paragraph" w:styleId="14">
    <w:name w:val="caption"/>
    <w:basedOn w:val="1"/>
    <w:next w:val="1"/>
    <w:autoRedefine/>
    <w:qFormat/>
    <w:uiPriority w:val="0"/>
    <w:rPr>
      <w:rFonts w:ascii="Arial" w:hAnsi="Arial" w:eastAsia="黑体" w:cs="Arial"/>
      <w:sz w:val="20"/>
    </w:rPr>
  </w:style>
  <w:style w:type="paragraph" w:styleId="15">
    <w:name w:val="Document Map"/>
    <w:basedOn w:val="1"/>
    <w:autoRedefine/>
    <w:semiHidden/>
    <w:qFormat/>
    <w:uiPriority w:val="0"/>
    <w:pPr>
      <w:shd w:val="clear" w:color="auto" w:fill="000080"/>
    </w:pPr>
  </w:style>
  <w:style w:type="paragraph" w:styleId="16">
    <w:name w:val="toa heading"/>
    <w:basedOn w:val="1"/>
    <w:next w:val="1"/>
    <w:autoRedefine/>
    <w:semiHidden/>
    <w:qFormat/>
    <w:uiPriority w:val="0"/>
    <w:pPr>
      <w:widowControl w:val="0"/>
      <w:autoSpaceDE w:val="0"/>
      <w:autoSpaceDN w:val="0"/>
      <w:adjustRightInd w:val="0"/>
      <w:snapToGrid w:val="0"/>
      <w:spacing w:before="120" w:line="360" w:lineRule="auto"/>
      <w:jc w:val="both"/>
    </w:pPr>
    <w:rPr>
      <w:rFonts w:ascii="Arial" w:hAnsi="Arial"/>
      <w:snapToGrid w:val="0"/>
      <w:color w:val="000000"/>
    </w:rPr>
  </w:style>
  <w:style w:type="paragraph" w:styleId="17">
    <w:name w:val="annotation text"/>
    <w:basedOn w:val="1"/>
    <w:autoRedefine/>
    <w:semiHidden/>
    <w:qFormat/>
    <w:uiPriority w:val="0"/>
  </w:style>
  <w:style w:type="paragraph" w:styleId="18">
    <w:name w:val="Body Text 3"/>
    <w:basedOn w:val="1"/>
    <w:autoRedefine/>
    <w:qFormat/>
    <w:uiPriority w:val="0"/>
    <w:pPr>
      <w:spacing w:after="120"/>
    </w:pPr>
    <w:rPr>
      <w:sz w:val="16"/>
      <w:szCs w:val="16"/>
    </w:rPr>
  </w:style>
  <w:style w:type="paragraph" w:styleId="19">
    <w:name w:val="Body Text Indent"/>
    <w:basedOn w:val="1"/>
    <w:autoRedefine/>
    <w:qFormat/>
    <w:uiPriority w:val="0"/>
    <w:pPr>
      <w:widowControl w:val="0"/>
      <w:spacing w:line="360" w:lineRule="auto"/>
      <w:ind w:left="-103" w:firstLine="515"/>
      <w:jc w:val="both"/>
    </w:pPr>
    <w:rPr>
      <w:rFonts w:ascii="宋体"/>
      <w:kern w:val="2"/>
      <w:sz w:val="24"/>
    </w:rPr>
  </w:style>
  <w:style w:type="paragraph" w:styleId="20">
    <w:name w:val="Block Text"/>
    <w:basedOn w:val="1"/>
    <w:autoRedefine/>
    <w:qFormat/>
    <w:uiPriority w:val="0"/>
    <w:pPr>
      <w:autoSpaceDE w:val="0"/>
      <w:autoSpaceDN w:val="0"/>
      <w:spacing w:line="360" w:lineRule="auto"/>
      <w:ind w:left="315" w:leftChars="150" w:right="-53"/>
      <w:jc w:val="both"/>
      <w:textAlignment w:val="bottom"/>
    </w:pPr>
    <w:rPr>
      <w:kern w:val="2"/>
    </w:rPr>
  </w:style>
  <w:style w:type="paragraph" w:styleId="21">
    <w:name w:val="toc 5"/>
    <w:basedOn w:val="1"/>
    <w:next w:val="1"/>
    <w:autoRedefine/>
    <w:semiHidden/>
    <w:qFormat/>
    <w:uiPriority w:val="0"/>
    <w:pPr>
      <w:widowControl w:val="0"/>
      <w:ind w:left="1680"/>
      <w:jc w:val="both"/>
    </w:pPr>
    <w:rPr>
      <w:kern w:val="2"/>
    </w:rPr>
  </w:style>
  <w:style w:type="paragraph" w:styleId="22">
    <w:name w:val="toc 3"/>
    <w:basedOn w:val="1"/>
    <w:next w:val="1"/>
    <w:autoRedefine/>
    <w:qFormat/>
    <w:uiPriority w:val="39"/>
    <w:pPr>
      <w:widowControl w:val="0"/>
      <w:tabs>
        <w:tab w:val="right" w:leader="dot" w:pos="9499"/>
      </w:tabs>
      <w:spacing w:line="360" w:lineRule="auto"/>
      <w:ind w:left="323" w:hanging="108"/>
      <w:jc w:val="both"/>
    </w:pPr>
    <w:rPr>
      <w:kern w:val="2"/>
    </w:rPr>
  </w:style>
  <w:style w:type="paragraph" w:styleId="23">
    <w:name w:val="Plain Text"/>
    <w:basedOn w:val="1"/>
    <w:link w:val="92"/>
    <w:autoRedefine/>
    <w:qFormat/>
    <w:uiPriority w:val="0"/>
    <w:pPr>
      <w:widowControl w:val="0"/>
      <w:jc w:val="both"/>
    </w:pPr>
    <w:rPr>
      <w:rFonts w:ascii="宋体" w:hAnsi="Courier New"/>
      <w:kern w:val="2"/>
    </w:rPr>
  </w:style>
  <w:style w:type="paragraph" w:styleId="24">
    <w:name w:val="toc 8"/>
    <w:basedOn w:val="1"/>
    <w:next w:val="1"/>
    <w:autoRedefine/>
    <w:semiHidden/>
    <w:qFormat/>
    <w:uiPriority w:val="0"/>
    <w:pPr>
      <w:widowControl w:val="0"/>
      <w:ind w:left="2940"/>
      <w:jc w:val="both"/>
    </w:pPr>
    <w:rPr>
      <w:kern w:val="2"/>
    </w:rPr>
  </w:style>
  <w:style w:type="paragraph" w:styleId="25">
    <w:name w:val="Date"/>
    <w:basedOn w:val="1"/>
    <w:next w:val="1"/>
    <w:link w:val="93"/>
    <w:autoRedefine/>
    <w:qFormat/>
    <w:uiPriority w:val="99"/>
    <w:pPr>
      <w:widowControl w:val="0"/>
      <w:jc w:val="both"/>
    </w:pPr>
    <w:rPr>
      <w:rFonts w:ascii="楷体_GB2312" w:eastAsia="楷体_GB2312"/>
      <w:kern w:val="2"/>
      <w:sz w:val="28"/>
    </w:rPr>
  </w:style>
  <w:style w:type="paragraph" w:styleId="26">
    <w:name w:val="Body Text Indent 2"/>
    <w:basedOn w:val="1"/>
    <w:autoRedefine/>
    <w:qFormat/>
    <w:uiPriority w:val="0"/>
    <w:pPr>
      <w:widowControl w:val="0"/>
      <w:spacing w:line="360" w:lineRule="auto"/>
      <w:ind w:firstLine="420"/>
      <w:jc w:val="both"/>
    </w:pPr>
    <w:rPr>
      <w:kern w:val="2"/>
    </w:rPr>
  </w:style>
  <w:style w:type="paragraph" w:styleId="27">
    <w:name w:val="Balloon Text"/>
    <w:basedOn w:val="1"/>
    <w:autoRedefine/>
    <w:semiHidden/>
    <w:qFormat/>
    <w:uiPriority w:val="0"/>
    <w:pPr>
      <w:widowControl w:val="0"/>
      <w:jc w:val="both"/>
    </w:pPr>
    <w:rPr>
      <w:kern w:val="2"/>
      <w:sz w:val="18"/>
      <w:szCs w:val="18"/>
    </w:rPr>
  </w:style>
  <w:style w:type="paragraph" w:styleId="28">
    <w:name w:val="footer"/>
    <w:basedOn w:val="1"/>
    <w:link w:val="94"/>
    <w:autoRedefine/>
    <w:qFormat/>
    <w:uiPriority w:val="0"/>
    <w:pPr>
      <w:tabs>
        <w:tab w:val="center" w:pos="4153"/>
        <w:tab w:val="right" w:pos="8306"/>
      </w:tabs>
      <w:snapToGrid w:val="0"/>
    </w:pPr>
    <w:rPr>
      <w:sz w:val="18"/>
    </w:rPr>
  </w:style>
  <w:style w:type="paragraph" w:styleId="29">
    <w:name w:val="header"/>
    <w:basedOn w:val="1"/>
    <w:link w:val="95"/>
    <w:autoRedefine/>
    <w:qFormat/>
    <w:uiPriority w:val="0"/>
    <w:pPr>
      <w:pBdr>
        <w:bottom w:val="single" w:color="auto" w:sz="6" w:space="1"/>
      </w:pBdr>
      <w:tabs>
        <w:tab w:val="center" w:pos="4153"/>
        <w:tab w:val="right" w:pos="8306"/>
      </w:tabs>
      <w:snapToGrid w:val="0"/>
      <w:jc w:val="center"/>
    </w:pPr>
    <w:rPr>
      <w:sz w:val="18"/>
    </w:rPr>
  </w:style>
  <w:style w:type="paragraph" w:styleId="30">
    <w:name w:val="toc 1"/>
    <w:basedOn w:val="1"/>
    <w:next w:val="1"/>
    <w:autoRedefine/>
    <w:qFormat/>
    <w:uiPriority w:val="39"/>
    <w:pPr>
      <w:tabs>
        <w:tab w:val="right" w:leader="dot" w:pos="9499"/>
      </w:tabs>
      <w:spacing w:line="360" w:lineRule="auto"/>
      <w:jc w:val="both"/>
    </w:pPr>
    <w:rPr>
      <w:rFonts w:ascii="楷体_GB2312" w:hAnsi="Arial" w:eastAsia="楷体_GB2312"/>
      <w:bCs/>
      <w:sz w:val="24"/>
      <w:szCs w:val="24"/>
    </w:rPr>
  </w:style>
  <w:style w:type="paragraph" w:styleId="31">
    <w:name w:val="toc 4"/>
    <w:basedOn w:val="1"/>
    <w:next w:val="1"/>
    <w:autoRedefine/>
    <w:semiHidden/>
    <w:qFormat/>
    <w:uiPriority w:val="0"/>
    <w:pPr>
      <w:widowControl w:val="0"/>
      <w:ind w:left="1260"/>
      <w:jc w:val="both"/>
    </w:pPr>
    <w:rPr>
      <w:kern w:val="2"/>
    </w:rPr>
  </w:style>
  <w:style w:type="paragraph" w:styleId="32">
    <w:name w:val="toc 6"/>
    <w:basedOn w:val="1"/>
    <w:next w:val="1"/>
    <w:autoRedefine/>
    <w:semiHidden/>
    <w:qFormat/>
    <w:uiPriority w:val="0"/>
    <w:pPr>
      <w:widowControl w:val="0"/>
      <w:ind w:left="2100"/>
      <w:jc w:val="both"/>
    </w:pPr>
    <w:rPr>
      <w:kern w:val="2"/>
    </w:rPr>
  </w:style>
  <w:style w:type="paragraph" w:styleId="33">
    <w:name w:val="Body Text Indent 3"/>
    <w:basedOn w:val="1"/>
    <w:autoRedefine/>
    <w:qFormat/>
    <w:uiPriority w:val="0"/>
    <w:pPr>
      <w:widowControl w:val="0"/>
      <w:spacing w:line="360" w:lineRule="auto"/>
      <w:ind w:left="420"/>
      <w:jc w:val="both"/>
    </w:pPr>
    <w:rPr>
      <w:kern w:val="2"/>
    </w:rPr>
  </w:style>
  <w:style w:type="paragraph" w:styleId="34">
    <w:name w:val="toc 2"/>
    <w:basedOn w:val="1"/>
    <w:next w:val="1"/>
    <w:autoRedefine/>
    <w:semiHidden/>
    <w:qFormat/>
    <w:uiPriority w:val="0"/>
    <w:pPr>
      <w:spacing w:line="360" w:lineRule="auto"/>
      <w:ind w:left="420"/>
    </w:pPr>
    <w:rPr>
      <w:rFonts w:ascii="宋体"/>
      <w:sz w:val="24"/>
    </w:rPr>
  </w:style>
  <w:style w:type="paragraph" w:styleId="35">
    <w:name w:val="toc 9"/>
    <w:basedOn w:val="1"/>
    <w:next w:val="1"/>
    <w:autoRedefine/>
    <w:semiHidden/>
    <w:qFormat/>
    <w:uiPriority w:val="0"/>
    <w:pPr>
      <w:widowControl w:val="0"/>
      <w:ind w:left="3360"/>
      <w:jc w:val="both"/>
    </w:pPr>
    <w:rPr>
      <w:kern w:val="2"/>
    </w:rPr>
  </w:style>
  <w:style w:type="paragraph" w:styleId="36">
    <w:name w:val="Body Text 2"/>
    <w:basedOn w:val="1"/>
    <w:autoRedefine/>
    <w:qFormat/>
    <w:uiPriority w:val="0"/>
    <w:pPr>
      <w:spacing w:line="360" w:lineRule="auto"/>
    </w:pPr>
    <w:rPr>
      <w:rFonts w:ascii="宋体" w:hAnsi="宋体"/>
      <w:color w:val="000000"/>
      <w:sz w:val="24"/>
    </w:rPr>
  </w:style>
  <w:style w:type="paragraph" w:styleId="37">
    <w:name w:val="Normal (Web)"/>
    <w:basedOn w:val="1"/>
    <w:autoRedefine/>
    <w:qFormat/>
    <w:uiPriority w:val="0"/>
    <w:pPr>
      <w:spacing w:before="100" w:beforeAutospacing="1" w:after="100" w:afterAutospacing="1"/>
    </w:pPr>
    <w:rPr>
      <w:rFonts w:ascii="宋体" w:hAnsi="宋体" w:cs="宋体"/>
      <w:color w:val="000000"/>
      <w:sz w:val="24"/>
      <w:szCs w:val="24"/>
    </w:rPr>
  </w:style>
  <w:style w:type="paragraph" w:styleId="38">
    <w:name w:val="index 1"/>
    <w:basedOn w:val="1"/>
    <w:next w:val="1"/>
    <w:autoRedefine/>
    <w:semiHidden/>
    <w:qFormat/>
    <w:uiPriority w:val="0"/>
    <w:pPr>
      <w:widowControl w:val="0"/>
      <w:jc w:val="center"/>
    </w:pPr>
    <w:rPr>
      <w:kern w:val="2"/>
      <w:szCs w:val="24"/>
    </w:rPr>
  </w:style>
  <w:style w:type="paragraph" w:styleId="39">
    <w:name w:val="annotation subject"/>
    <w:basedOn w:val="17"/>
    <w:next w:val="17"/>
    <w:autoRedefine/>
    <w:semiHidden/>
    <w:qFormat/>
    <w:uiPriority w:val="0"/>
    <w:rPr>
      <w:b/>
      <w:bCs/>
    </w:rPr>
  </w:style>
  <w:style w:type="paragraph" w:styleId="40">
    <w:name w:val="Body Text First Indent"/>
    <w:basedOn w:val="1"/>
    <w:autoRedefine/>
    <w:qFormat/>
    <w:uiPriority w:val="0"/>
    <w:pPr>
      <w:ind w:firstLine="420" w:firstLineChars="100"/>
    </w:pPr>
  </w:style>
  <w:style w:type="table" w:styleId="42">
    <w:name w:val="Table Grid"/>
    <w:basedOn w:val="41"/>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autoRedefine/>
    <w:qFormat/>
    <w:uiPriority w:val="0"/>
    <w:rPr>
      <w:b/>
      <w:bCs/>
    </w:rPr>
  </w:style>
  <w:style w:type="character" w:styleId="45">
    <w:name w:val="page number"/>
    <w:basedOn w:val="43"/>
    <w:autoRedefine/>
    <w:qFormat/>
    <w:uiPriority w:val="0"/>
  </w:style>
  <w:style w:type="character" w:styleId="46">
    <w:name w:val="FollowedHyperlink"/>
    <w:basedOn w:val="43"/>
    <w:autoRedefine/>
    <w:qFormat/>
    <w:uiPriority w:val="0"/>
    <w:rPr>
      <w:color w:val="338DE6"/>
      <w:u w:val="none"/>
    </w:rPr>
  </w:style>
  <w:style w:type="character" w:styleId="47">
    <w:name w:val="Emphasis"/>
    <w:basedOn w:val="43"/>
    <w:autoRedefine/>
    <w:qFormat/>
    <w:uiPriority w:val="0"/>
  </w:style>
  <w:style w:type="character" w:styleId="48">
    <w:name w:val="HTML Definition"/>
    <w:basedOn w:val="43"/>
    <w:autoRedefine/>
    <w:qFormat/>
    <w:uiPriority w:val="0"/>
  </w:style>
  <w:style w:type="character" w:styleId="49">
    <w:name w:val="HTML Variable"/>
    <w:basedOn w:val="43"/>
    <w:autoRedefine/>
    <w:qFormat/>
    <w:uiPriority w:val="0"/>
  </w:style>
  <w:style w:type="character" w:styleId="50">
    <w:name w:val="Hyperlink"/>
    <w:basedOn w:val="43"/>
    <w:autoRedefine/>
    <w:qFormat/>
    <w:uiPriority w:val="99"/>
    <w:rPr>
      <w:color w:val="338DE6"/>
      <w:u w:val="none"/>
    </w:rPr>
  </w:style>
  <w:style w:type="character" w:styleId="51">
    <w:name w:val="HTML Code"/>
    <w:basedOn w:val="43"/>
    <w:autoRedefine/>
    <w:qFormat/>
    <w:uiPriority w:val="0"/>
    <w:rPr>
      <w:rFonts w:hint="default" w:ascii="monospace" w:hAnsi="monospace" w:eastAsia="monospace" w:cs="monospace"/>
      <w:sz w:val="21"/>
      <w:szCs w:val="21"/>
    </w:rPr>
  </w:style>
  <w:style w:type="character" w:styleId="52">
    <w:name w:val="annotation reference"/>
    <w:autoRedefine/>
    <w:semiHidden/>
    <w:qFormat/>
    <w:uiPriority w:val="0"/>
    <w:rPr>
      <w:sz w:val="21"/>
      <w:szCs w:val="21"/>
    </w:rPr>
  </w:style>
  <w:style w:type="character" w:styleId="53">
    <w:name w:val="HTML Cite"/>
    <w:basedOn w:val="43"/>
    <w:autoRedefine/>
    <w:qFormat/>
    <w:uiPriority w:val="0"/>
  </w:style>
  <w:style w:type="character" w:styleId="54">
    <w:name w:val="HTML Keyboard"/>
    <w:basedOn w:val="43"/>
    <w:autoRedefine/>
    <w:qFormat/>
    <w:uiPriority w:val="0"/>
    <w:rPr>
      <w:rFonts w:hint="default" w:ascii="monospace" w:hAnsi="monospace" w:eastAsia="monospace" w:cs="monospace"/>
      <w:sz w:val="21"/>
      <w:szCs w:val="21"/>
      <w:shd w:val="clear" w:color="auto" w:fill="FFFFFF"/>
    </w:rPr>
  </w:style>
  <w:style w:type="character" w:styleId="55">
    <w:name w:val="HTML Sample"/>
    <w:basedOn w:val="43"/>
    <w:autoRedefine/>
    <w:qFormat/>
    <w:uiPriority w:val="0"/>
    <w:rPr>
      <w:rFonts w:ascii="monospace" w:hAnsi="monospace" w:eastAsia="monospace" w:cs="monospace"/>
      <w:sz w:val="21"/>
      <w:szCs w:val="21"/>
      <w:u w:val="single"/>
    </w:rPr>
  </w:style>
  <w:style w:type="paragraph" w:customStyle="1" w:styleId="56">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57">
    <w:name w:val="00新正文"/>
    <w:basedOn w:val="1"/>
    <w:link w:val="109"/>
    <w:autoRedefine/>
    <w:qFormat/>
    <w:uiPriority w:val="0"/>
    <w:pPr>
      <w:widowControl w:val="0"/>
      <w:tabs>
        <w:tab w:val="center" w:pos="0"/>
      </w:tabs>
      <w:spacing w:line="360" w:lineRule="auto"/>
      <w:ind w:firstLine="600" w:firstLineChars="250"/>
      <w:jc w:val="both"/>
    </w:pPr>
    <w:rPr>
      <w:rFonts w:ascii="宋体" w:hAnsi="宋体" w:cs="宋体"/>
      <w:kern w:val="2"/>
      <w:sz w:val="24"/>
    </w:rPr>
  </w:style>
  <w:style w:type="paragraph" w:customStyle="1" w:styleId="58">
    <w:name w:val="_Style 63"/>
    <w:basedOn w:val="1"/>
    <w:autoRedefine/>
    <w:qFormat/>
    <w:uiPriority w:val="0"/>
    <w:pPr>
      <w:spacing w:after="160" w:line="240" w:lineRule="exact"/>
    </w:pPr>
    <w:rPr>
      <w:rFonts w:ascii="Verdana" w:hAnsi="Verdana" w:eastAsia="仿宋_GB2312"/>
      <w:sz w:val="28"/>
      <w:lang w:eastAsia="en-US"/>
    </w:rPr>
  </w:style>
  <w:style w:type="paragraph" w:customStyle="1" w:styleId="59">
    <w:name w:val="xl51"/>
    <w:basedOn w:val="1"/>
    <w:autoRedefine/>
    <w:qFormat/>
    <w:uiPriority w:val="0"/>
    <w:pPr>
      <w:pBdr>
        <w:bottom w:val="single" w:color="auto" w:sz="4" w:space="0"/>
        <w:right w:val="single" w:color="auto" w:sz="4" w:space="0"/>
      </w:pBdr>
      <w:spacing w:before="100" w:beforeAutospacing="1" w:after="100" w:afterAutospacing="1"/>
      <w:jc w:val="both"/>
      <w:textAlignment w:val="center"/>
    </w:pPr>
    <w:rPr>
      <w:rFonts w:ascii="Arial" w:hAnsi="Arial" w:eastAsia="Arial Unicode MS" w:cs="Arial"/>
      <w:szCs w:val="21"/>
    </w:rPr>
  </w:style>
  <w:style w:type="paragraph" w:customStyle="1" w:styleId="60">
    <w:name w:val="Char Char Char Char Char Char"/>
    <w:basedOn w:val="1"/>
    <w:autoRedefine/>
    <w:qFormat/>
    <w:uiPriority w:val="0"/>
    <w:pPr>
      <w:widowControl w:val="0"/>
      <w:jc w:val="both"/>
    </w:pPr>
    <w:rPr>
      <w:rFonts w:ascii="Tahoma" w:hAnsi="Tahoma"/>
      <w:kern w:val="2"/>
      <w:sz w:val="24"/>
    </w:rPr>
  </w:style>
  <w:style w:type="paragraph" w:customStyle="1" w:styleId="61">
    <w:name w:val="标题 4 +"/>
    <w:basedOn w:val="11"/>
    <w:autoRedefine/>
    <w:qFormat/>
    <w:uiPriority w:val="0"/>
    <w:pPr>
      <w:keepLines/>
      <w:autoSpaceDE/>
      <w:autoSpaceDN/>
      <w:adjustRightInd/>
      <w:snapToGrid/>
      <w:ind w:left="0" w:firstLine="0"/>
    </w:pPr>
    <w:rPr>
      <w:color w:val="auto"/>
      <w:szCs w:val="24"/>
    </w:rPr>
  </w:style>
  <w:style w:type="paragraph" w:customStyle="1" w:styleId="62">
    <w:name w:val="Char1"/>
    <w:basedOn w:val="1"/>
    <w:autoRedefine/>
    <w:qFormat/>
    <w:uiPriority w:val="0"/>
    <w:pPr>
      <w:widowControl w:val="0"/>
      <w:jc w:val="both"/>
    </w:pPr>
    <w:rPr>
      <w:rFonts w:ascii="Tahoma" w:hAnsi="Tahoma"/>
      <w:kern w:val="2"/>
      <w:sz w:val="24"/>
    </w:rPr>
  </w:style>
  <w:style w:type="paragraph" w:customStyle="1" w:styleId="63">
    <w:name w:val="WPSOffice手动目录 1"/>
    <w:autoRedefine/>
    <w:qFormat/>
    <w:uiPriority w:val="0"/>
    <w:rPr>
      <w:rFonts w:ascii="Times New Roman" w:hAnsi="Times New Roman" w:eastAsia="宋体" w:cs="Times New Roman"/>
      <w:lang w:val="en-US" w:eastAsia="zh-CN" w:bidi="ar-SA"/>
    </w:rPr>
  </w:style>
  <w:style w:type="paragraph" w:customStyle="1" w:styleId="64">
    <w:name w:val="_Style 53"/>
    <w:basedOn w:val="1"/>
    <w:autoRedefine/>
    <w:qFormat/>
    <w:uiPriority w:val="0"/>
    <w:pPr>
      <w:widowControl w:val="0"/>
      <w:jc w:val="both"/>
    </w:pPr>
  </w:style>
  <w:style w:type="paragraph" w:customStyle="1" w:styleId="65">
    <w:name w:val="Char Char1 Char"/>
    <w:basedOn w:val="1"/>
    <w:autoRedefine/>
    <w:qFormat/>
    <w:uiPriority w:val="0"/>
    <w:pPr>
      <w:widowControl w:val="0"/>
      <w:jc w:val="both"/>
    </w:pPr>
    <w:rPr>
      <w:kern w:val="2"/>
      <w:szCs w:val="24"/>
    </w:rPr>
  </w:style>
  <w:style w:type="paragraph" w:customStyle="1" w:styleId="66">
    <w:name w:val="默认段落字体 Para Char"/>
    <w:basedOn w:val="1"/>
    <w:autoRedefine/>
    <w:qFormat/>
    <w:uiPriority w:val="0"/>
    <w:pPr>
      <w:widowControl w:val="0"/>
      <w:jc w:val="both"/>
    </w:pPr>
    <w:rPr>
      <w:rFonts w:ascii="Tahoma" w:hAnsi="Tahoma"/>
      <w:kern w:val="2"/>
      <w:sz w:val="24"/>
    </w:rPr>
  </w:style>
  <w:style w:type="paragraph" w:customStyle="1" w:styleId="67">
    <w:name w:val="投标文件2"/>
    <w:basedOn w:val="1"/>
    <w:autoRedefine/>
    <w:qFormat/>
    <w:uiPriority w:val="0"/>
    <w:pPr>
      <w:widowControl w:val="0"/>
      <w:spacing w:line="480" w:lineRule="auto"/>
      <w:ind w:left="1134"/>
      <w:jc w:val="center"/>
      <w:outlineLvl w:val="0"/>
    </w:pPr>
    <w:rPr>
      <w:rFonts w:ascii="宋体"/>
      <w:b/>
      <w:kern w:val="2"/>
      <w:sz w:val="30"/>
    </w:rPr>
  </w:style>
  <w:style w:type="paragraph" w:customStyle="1" w:styleId="68">
    <w:name w:val="图"/>
    <w:basedOn w:val="1"/>
    <w:autoRedefine/>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9">
    <w:name w:val="_Style 56"/>
    <w:basedOn w:val="1"/>
    <w:autoRedefine/>
    <w:qFormat/>
    <w:uiPriority w:val="0"/>
    <w:pPr>
      <w:widowControl w:val="0"/>
      <w:jc w:val="both"/>
    </w:pPr>
  </w:style>
  <w:style w:type="paragraph" w:customStyle="1" w:styleId="70">
    <w:name w:val="标题1"/>
    <w:basedOn w:val="1"/>
    <w:autoRedefine/>
    <w:qFormat/>
    <w:uiPriority w:val="0"/>
    <w:pPr>
      <w:spacing w:line="360" w:lineRule="auto"/>
      <w:jc w:val="center"/>
    </w:pPr>
    <w:rPr>
      <w:rFonts w:ascii="黑体" w:eastAsia="黑体"/>
      <w:b/>
      <w:sz w:val="44"/>
    </w:rPr>
  </w:style>
  <w:style w:type="paragraph" w:customStyle="1" w:styleId="71">
    <w:name w:val="日期1"/>
    <w:basedOn w:val="1"/>
    <w:next w:val="1"/>
    <w:autoRedefine/>
    <w:qFormat/>
    <w:uiPriority w:val="0"/>
    <w:pPr>
      <w:widowControl w:val="0"/>
      <w:adjustRightInd w:val="0"/>
      <w:spacing w:line="360" w:lineRule="auto"/>
      <w:jc w:val="both"/>
      <w:textAlignment w:val="baseline"/>
    </w:pPr>
    <w:rPr>
      <w:rFonts w:ascii="宋体"/>
      <w:b/>
      <w:spacing w:val="2"/>
      <w:kern w:val="2"/>
      <w:sz w:val="24"/>
    </w:rPr>
  </w:style>
  <w:style w:type="paragraph" w:customStyle="1" w:styleId="72">
    <w:name w:val="_Style 7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xl25"/>
    <w:basedOn w:val="1"/>
    <w:autoRedefine/>
    <w:qFormat/>
    <w:uiPriority w:val="0"/>
    <w:pPr>
      <w:pBdr>
        <w:bottom w:val="single" w:color="auto" w:sz="4" w:space="0"/>
        <w:right w:val="single" w:color="auto" w:sz="4" w:space="0"/>
      </w:pBdr>
      <w:spacing w:before="100" w:beforeAutospacing="1" w:after="100" w:afterAutospacing="1"/>
      <w:jc w:val="center"/>
    </w:pPr>
    <w:rPr>
      <w:rFonts w:hint="eastAsia" w:ascii="宋体" w:hAnsi="宋体"/>
      <w:kern w:val="2"/>
    </w:rPr>
  </w:style>
  <w:style w:type="paragraph" w:customStyle="1" w:styleId="74">
    <w:name w:val="表格内容"/>
    <w:basedOn w:val="1"/>
    <w:next w:val="1"/>
    <w:autoRedefine/>
    <w:qFormat/>
    <w:uiPriority w:val="0"/>
    <w:pPr>
      <w:widowControl w:val="0"/>
      <w:spacing w:line="312" w:lineRule="auto"/>
      <w:jc w:val="both"/>
    </w:pPr>
    <w:rPr>
      <w:rFonts w:ascii="宋体"/>
      <w:kern w:val="2"/>
    </w:rPr>
  </w:style>
  <w:style w:type="paragraph" w:customStyle="1" w:styleId="75">
    <w:name w:val="标题 3 + 宋体"/>
    <w:basedOn w:val="4"/>
    <w:autoRedefine/>
    <w:qFormat/>
    <w:uiPriority w:val="0"/>
    <w:pPr>
      <w:widowControl w:val="0"/>
      <w:adjustRightInd/>
      <w:snapToGrid/>
      <w:spacing w:before="260" w:after="260" w:line="416" w:lineRule="auto"/>
      <w:jc w:val="both"/>
    </w:pPr>
    <w:rPr>
      <w:bCs/>
      <w:sz w:val="28"/>
      <w:szCs w:val="32"/>
    </w:rPr>
  </w:style>
  <w:style w:type="paragraph" w:customStyle="1" w:styleId="76">
    <w:name w:val="(标书)正文 Char"/>
    <w:basedOn w:val="1"/>
    <w:autoRedefine/>
    <w:qFormat/>
    <w:uiPriority w:val="0"/>
    <w:pPr>
      <w:widowControl w:val="0"/>
      <w:spacing w:line="480" w:lineRule="auto"/>
      <w:ind w:firstLine="522"/>
    </w:pPr>
    <w:rPr>
      <w:spacing w:val="10"/>
      <w:sz w:val="24"/>
      <w:szCs w:val="24"/>
    </w:rPr>
  </w:style>
  <w:style w:type="paragraph" w:customStyle="1" w:styleId="77">
    <w:name w:val="样式1"/>
    <w:basedOn w:val="1"/>
    <w:autoRedefine/>
    <w:qFormat/>
    <w:uiPriority w:val="0"/>
    <w:pPr>
      <w:widowControl w:val="0"/>
      <w:numPr>
        <w:ilvl w:val="0"/>
        <w:numId w:val="1"/>
      </w:numPr>
      <w:adjustRightInd w:val="0"/>
      <w:snapToGrid w:val="0"/>
      <w:spacing w:before="40" w:after="40" w:line="300" w:lineRule="auto"/>
      <w:jc w:val="center"/>
      <w:textAlignment w:val="center"/>
    </w:pPr>
    <w:rPr>
      <w:snapToGrid w:val="0"/>
      <w:spacing w:val="20"/>
      <w:sz w:val="18"/>
    </w:rPr>
  </w:style>
  <w:style w:type="paragraph" w:customStyle="1" w:styleId="7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79">
    <w:name w:val="题注5"/>
    <w:basedOn w:val="1"/>
    <w:next w:val="14"/>
    <w:autoRedefine/>
    <w:qFormat/>
    <w:uiPriority w:val="0"/>
    <w:pPr>
      <w:widowControl w:val="0"/>
      <w:numPr>
        <w:ilvl w:val="0"/>
        <w:numId w:val="2"/>
      </w:numPr>
      <w:tabs>
        <w:tab w:val="left" w:pos="540"/>
        <w:tab w:val="clear" w:pos="510"/>
      </w:tabs>
      <w:spacing w:line="360" w:lineRule="auto"/>
      <w:ind w:left="540" w:hanging="540" w:hangingChars="225"/>
      <w:jc w:val="both"/>
    </w:pPr>
    <w:rPr>
      <w:rFonts w:ascii="宋体" w:hAnsi="宋体"/>
      <w:color w:val="000000"/>
      <w:kern w:val="2"/>
      <w:sz w:val="24"/>
      <w:szCs w:val="24"/>
    </w:rPr>
  </w:style>
  <w:style w:type="paragraph" w:customStyle="1" w:styleId="80">
    <w:name w:val="Char11"/>
    <w:basedOn w:val="15"/>
    <w:autoRedefine/>
    <w:qFormat/>
    <w:uiPriority w:val="0"/>
    <w:pPr>
      <w:widowControl w:val="0"/>
      <w:shd w:val="clear" w:color="auto" w:fill="FFFFFF"/>
      <w:jc w:val="both"/>
    </w:pPr>
    <w:rPr>
      <w:rFonts w:ascii="Tahoma" w:hAnsi="Tahoma"/>
      <w:kern w:val="2"/>
      <w:sz w:val="24"/>
      <w:szCs w:val="24"/>
    </w:rPr>
  </w:style>
  <w:style w:type="paragraph" w:customStyle="1" w:styleId="81">
    <w:name w:val="Char Char Char"/>
    <w:basedOn w:val="1"/>
    <w:autoRedefine/>
    <w:qFormat/>
    <w:uiPriority w:val="0"/>
    <w:pPr>
      <w:widowControl w:val="0"/>
      <w:jc w:val="both"/>
    </w:pPr>
    <w:rPr>
      <w:rFonts w:ascii="Tahoma" w:hAnsi="Tahoma"/>
      <w:kern w:val="2"/>
      <w:sz w:val="24"/>
    </w:rPr>
  </w:style>
  <w:style w:type="paragraph" w:customStyle="1" w:styleId="82">
    <w:name w:val="Char"/>
    <w:basedOn w:val="15"/>
    <w:autoRedefine/>
    <w:qFormat/>
    <w:uiPriority w:val="0"/>
    <w:pPr>
      <w:widowControl w:val="0"/>
      <w:adjustRightInd w:val="0"/>
      <w:jc w:val="both"/>
      <w:textAlignment w:val="baseline"/>
    </w:pPr>
    <w:rPr>
      <w:rFonts w:ascii="Tahoma" w:hAnsi="Tahoma"/>
      <w:kern w:val="2"/>
      <w:sz w:val="24"/>
      <w:szCs w:val="24"/>
    </w:rPr>
  </w:style>
  <w:style w:type="paragraph" w:customStyle="1" w:styleId="83">
    <w:name w:val="tabletext"/>
    <w:basedOn w:val="1"/>
    <w:autoRedefine/>
    <w:qFormat/>
    <w:uiPriority w:val="0"/>
    <w:pPr>
      <w:spacing w:before="100" w:beforeAutospacing="1" w:after="100" w:afterAutospacing="1" w:line="209" w:lineRule="atLeast"/>
    </w:pPr>
    <w:rPr>
      <w:rFonts w:ascii="宋体" w:hAnsi="宋体"/>
      <w:sz w:val="16"/>
      <w:szCs w:val="16"/>
    </w:rPr>
  </w:style>
  <w:style w:type="paragraph" w:customStyle="1" w:styleId="84">
    <w:name w:val="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85">
    <w:name w:val="Char1 Char Char Char1"/>
    <w:basedOn w:val="1"/>
    <w:autoRedefine/>
    <w:qFormat/>
    <w:uiPriority w:val="0"/>
    <w:pPr>
      <w:spacing w:after="160" w:line="240" w:lineRule="exact"/>
    </w:pPr>
    <w:rPr>
      <w:rFonts w:ascii="Verdana" w:hAnsi="Verdana" w:eastAsia="仿宋_GB2312"/>
      <w:sz w:val="28"/>
      <w:lang w:eastAsia="en-US"/>
    </w:rPr>
  </w:style>
  <w:style w:type="paragraph" w:customStyle="1" w:styleId="86">
    <w:name w:val="Char2"/>
    <w:basedOn w:val="15"/>
    <w:autoRedefine/>
    <w:qFormat/>
    <w:uiPriority w:val="0"/>
    <w:pPr>
      <w:widowControl w:val="0"/>
      <w:adjustRightInd w:val="0"/>
      <w:jc w:val="both"/>
    </w:pPr>
    <w:rPr>
      <w:rFonts w:ascii="Tahoma" w:hAnsi="Tahoma"/>
      <w:kern w:val="2"/>
      <w:sz w:val="24"/>
      <w:szCs w:val="24"/>
    </w:rPr>
  </w:style>
  <w:style w:type="paragraph" w:customStyle="1" w:styleId="87">
    <w:name w:val="表格文字"/>
    <w:basedOn w:val="1"/>
    <w:autoRedefine/>
    <w:qFormat/>
    <w:uiPriority w:val="0"/>
    <w:pPr>
      <w:widowControl w:val="0"/>
      <w:spacing w:before="25" w:after="25" w:line="300" w:lineRule="auto"/>
      <w:jc w:val="both"/>
    </w:pPr>
    <w:rPr>
      <w:rFonts w:ascii="Times" w:hAnsi="Times"/>
      <w:spacing w:val="10"/>
      <w:sz w:val="24"/>
    </w:rPr>
  </w:style>
  <w:style w:type="paragraph" w:customStyle="1" w:styleId="88">
    <w:name w:val="Char1 Char Char Char11"/>
    <w:basedOn w:val="1"/>
    <w:autoRedefine/>
    <w:qFormat/>
    <w:uiPriority w:val="0"/>
    <w:pPr>
      <w:spacing w:after="160" w:line="240" w:lineRule="exact"/>
    </w:pPr>
    <w:rPr>
      <w:rFonts w:ascii="Verdana" w:hAnsi="Verdana" w:eastAsia="仿宋_GB2312"/>
      <w:sz w:val="28"/>
      <w:lang w:eastAsia="en-US"/>
    </w:rPr>
  </w:style>
  <w:style w:type="paragraph" w:customStyle="1" w:styleId="89">
    <w:name w:val="p0"/>
    <w:basedOn w:val="1"/>
    <w:autoRedefine/>
    <w:qFormat/>
    <w:uiPriority w:val="0"/>
    <w:rPr>
      <w:szCs w:val="21"/>
    </w:rPr>
  </w:style>
  <w:style w:type="paragraph" w:customStyle="1" w:styleId="90">
    <w:name w:val="标题 4 宋体"/>
    <w:basedOn w:val="61"/>
    <w:autoRedefine/>
    <w:qFormat/>
    <w:uiPriority w:val="0"/>
    <w:rPr>
      <w:rFonts w:ascii="宋体" w:hAnsi="宋体" w:eastAsia="宋体"/>
      <w:b/>
      <w:bCs/>
      <w:kern w:val="2"/>
      <w:sz w:val="22"/>
    </w:rPr>
  </w:style>
  <w:style w:type="character" w:customStyle="1" w:styleId="91">
    <w:name w:val="正文缩进 字符"/>
    <w:link w:val="5"/>
    <w:autoRedefine/>
    <w:qFormat/>
    <w:locked/>
    <w:uiPriority w:val="0"/>
    <w:rPr>
      <w:rFonts w:eastAsia="宋体"/>
      <w:sz w:val="21"/>
      <w:lang w:val="en-US" w:eastAsia="zh-CN" w:bidi="ar-SA"/>
    </w:rPr>
  </w:style>
  <w:style w:type="character" w:customStyle="1" w:styleId="92">
    <w:name w:val="纯文本 字符"/>
    <w:link w:val="23"/>
    <w:autoRedefine/>
    <w:qFormat/>
    <w:uiPriority w:val="0"/>
    <w:rPr>
      <w:rFonts w:ascii="宋体" w:hAnsi="Courier New" w:eastAsia="宋体"/>
      <w:kern w:val="2"/>
      <w:sz w:val="21"/>
      <w:lang w:val="en-US" w:eastAsia="zh-CN" w:bidi="ar-SA"/>
    </w:rPr>
  </w:style>
  <w:style w:type="character" w:customStyle="1" w:styleId="93">
    <w:name w:val="日期 字符"/>
    <w:link w:val="25"/>
    <w:autoRedefine/>
    <w:qFormat/>
    <w:locked/>
    <w:uiPriority w:val="99"/>
    <w:rPr>
      <w:rFonts w:ascii="楷体_GB2312" w:eastAsia="楷体_GB2312"/>
      <w:kern w:val="2"/>
      <w:sz w:val="28"/>
      <w:lang w:val="en-US" w:eastAsia="zh-CN" w:bidi="ar-SA"/>
    </w:rPr>
  </w:style>
  <w:style w:type="character" w:customStyle="1" w:styleId="94">
    <w:name w:val="页脚 字符"/>
    <w:link w:val="28"/>
    <w:autoRedefine/>
    <w:qFormat/>
    <w:uiPriority w:val="0"/>
    <w:rPr>
      <w:rFonts w:eastAsia="宋体"/>
      <w:sz w:val="18"/>
      <w:lang w:val="en-US" w:eastAsia="zh-CN" w:bidi="ar-SA"/>
    </w:rPr>
  </w:style>
  <w:style w:type="character" w:customStyle="1" w:styleId="95">
    <w:name w:val="页眉 字符"/>
    <w:link w:val="29"/>
    <w:autoRedefine/>
    <w:qFormat/>
    <w:uiPriority w:val="0"/>
    <w:rPr>
      <w:rFonts w:eastAsia="宋体"/>
      <w:sz w:val="18"/>
      <w:lang w:val="en-US" w:eastAsia="zh-CN" w:bidi="ar-SA"/>
    </w:rPr>
  </w:style>
  <w:style w:type="character" w:customStyle="1" w:styleId="96">
    <w:name w:val="纯文本 Char"/>
    <w:autoRedefine/>
    <w:qFormat/>
    <w:uiPriority w:val="0"/>
    <w:rPr>
      <w:rFonts w:ascii="宋体" w:hAnsi="Courier New" w:eastAsia="宋体"/>
      <w:kern w:val="2"/>
      <w:sz w:val="21"/>
      <w:lang w:val="en-US" w:eastAsia="zh-CN" w:bidi="ar-SA"/>
    </w:rPr>
  </w:style>
  <w:style w:type="character" w:customStyle="1" w:styleId="97">
    <w:name w:val="Footer-Even Char"/>
    <w:basedOn w:val="43"/>
    <w:autoRedefine/>
    <w:semiHidden/>
    <w:qFormat/>
    <w:uiPriority w:val="0"/>
    <w:rPr>
      <w:rFonts w:eastAsia="宋体"/>
      <w:sz w:val="18"/>
      <w:lang w:val="en-US" w:eastAsia="zh-CN" w:bidi="ar-SA"/>
    </w:rPr>
  </w:style>
  <w:style w:type="character" w:customStyle="1" w:styleId="98">
    <w:name w:val="NormalCharacter"/>
    <w:autoRedefine/>
    <w:qFormat/>
    <w:uiPriority w:val="0"/>
  </w:style>
  <w:style w:type="character" w:customStyle="1" w:styleId="99">
    <w:name w:val="fontstrikethrough"/>
    <w:basedOn w:val="43"/>
    <w:autoRedefine/>
    <w:qFormat/>
    <w:uiPriority w:val="0"/>
    <w:rPr>
      <w:strike/>
    </w:rPr>
  </w:style>
  <w:style w:type="character" w:customStyle="1" w:styleId="100">
    <w:name w:val="Char Char1"/>
    <w:autoRedefine/>
    <w:qFormat/>
    <w:uiPriority w:val="0"/>
    <w:rPr>
      <w:rFonts w:ascii="宋体" w:hAnsi="Courier New" w:eastAsia="宋体"/>
      <w:kern w:val="2"/>
      <w:sz w:val="21"/>
      <w:lang w:val="en-US" w:eastAsia="zh-CN" w:bidi="ar-SA"/>
    </w:rPr>
  </w:style>
  <w:style w:type="character" w:customStyle="1" w:styleId="101">
    <w:name w:val="纯文本 Char1"/>
    <w:autoRedefine/>
    <w:qFormat/>
    <w:uiPriority w:val="0"/>
    <w:rPr>
      <w:rFonts w:ascii="宋体" w:hAnsi="Courier New" w:eastAsia="宋体"/>
      <w:kern w:val="2"/>
      <w:sz w:val="21"/>
      <w:lang w:val="en-US" w:eastAsia="zh-CN" w:bidi="ar-SA"/>
    </w:rPr>
  </w:style>
  <w:style w:type="character" w:customStyle="1" w:styleId="102">
    <w:name w:val="txt11"/>
    <w:autoRedefine/>
    <w:qFormat/>
    <w:uiPriority w:val="0"/>
    <w:rPr>
      <w:rFonts w:hint="default" w:ascii="Arial" w:hAnsi="Arial" w:cs="Arial"/>
      <w:color w:val="000000"/>
      <w:sz w:val="18"/>
      <w:szCs w:val="18"/>
    </w:rPr>
  </w:style>
  <w:style w:type="character" w:customStyle="1" w:styleId="103">
    <w:name w:val="Char Char6"/>
    <w:autoRedefine/>
    <w:qFormat/>
    <w:uiPriority w:val="0"/>
    <w:rPr>
      <w:rFonts w:eastAsia="宋体"/>
      <w:sz w:val="21"/>
      <w:lang w:val="en-US" w:eastAsia="zh-CN" w:bidi="ar-SA"/>
    </w:rPr>
  </w:style>
  <w:style w:type="character" w:customStyle="1" w:styleId="104">
    <w:name w:val="Char Char2"/>
    <w:autoRedefine/>
    <w:qFormat/>
    <w:uiPriority w:val="0"/>
    <w:rPr>
      <w:sz w:val="18"/>
      <w:lang w:bidi="ar-SA"/>
    </w:rPr>
  </w:style>
  <w:style w:type="character" w:customStyle="1" w:styleId="105">
    <w:name w:val="span_param1"/>
    <w:basedOn w:val="43"/>
    <w:autoRedefine/>
    <w:qFormat/>
    <w:uiPriority w:val="0"/>
  </w:style>
  <w:style w:type="character" w:customStyle="1" w:styleId="106">
    <w:name w:val="fontborder"/>
    <w:basedOn w:val="43"/>
    <w:autoRedefine/>
    <w:qFormat/>
    <w:uiPriority w:val="0"/>
    <w:rPr>
      <w:bdr w:val="single" w:color="000000" w:sz="6" w:space="0"/>
    </w:rPr>
  </w:style>
  <w:style w:type="character" w:customStyle="1" w:styleId="107">
    <w:name w:val="para1"/>
    <w:autoRedefine/>
    <w:qFormat/>
    <w:uiPriority w:val="0"/>
    <w:rPr>
      <w:rFonts w:hint="default" w:ascii="Arial" w:hAnsi="Arial" w:cs="Arial"/>
      <w:sz w:val="16"/>
      <w:szCs w:val="16"/>
    </w:rPr>
  </w:style>
  <w:style w:type="character" w:customStyle="1" w:styleId="108">
    <w:name w:val="Char Char"/>
    <w:autoRedefine/>
    <w:qFormat/>
    <w:locked/>
    <w:uiPriority w:val="0"/>
    <w:rPr>
      <w:rFonts w:eastAsia="宋体"/>
      <w:sz w:val="21"/>
      <w:lang w:val="en-US" w:eastAsia="zh-CN" w:bidi="ar-SA"/>
    </w:rPr>
  </w:style>
  <w:style w:type="character" w:customStyle="1" w:styleId="109">
    <w:name w:val="00新正文 Char Char"/>
    <w:link w:val="57"/>
    <w:autoRedefine/>
    <w:qFormat/>
    <w:uiPriority w:val="0"/>
    <w:rPr>
      <w:rFonts w:ascii="宋体" w:hAnsi="宋体" w:eastAsia="宋体" w:cs="宋体"/>
      <w:kern w:val="2"/>
      <w:sz w:val="24"/>
      <w:lang w:val="en-US" w:eastAsia="zh-CN" w:bidi="ar-SA"/>
    </w:rPr>
  </w:style>
  <w:style w:type="character" w:customStyle="1" w:styleId="110">
    <w:name w:val="span_paramvalue"/>
    <w:basedOn w:val="43"/>
    <w:autoRedefine/>
    <w:qFormat/>
    <w:uiPriority w:val="0"/>
  </w:style>
  <w:style w:type="paragraph" w:customStyle="1" w:styleId="111">
    <w:name w:val="样式 宋体 行距: 1.5 倍行距"/>
    <w:basedOn w:val="1"/>
    <w:autoRedefine/>
    <w:qFormat/>
    <w:uiPriority w:val="0"/>
    <w:pPr>
      <w:jc w:val="center"/>
    </w:pPr>
    <w:rPr>
      <w:b/>
    </w:rPr>
  </w:style>
  <w:style w:type="paragraph" w:customStyle="1" w:styleId="112">
    <w:name w:val="Blockquote"/>
    <w:basedOn w:val="1"/>
    <w:autoRedefine/>
    <w:qFormat/>
    <w:uiPriority w:val="0"/>
    <w:pPr>
      <w:autoSpaceDE w:val="0"/>
      <w:autoSpaceDN w:val="0"/>
      <w:adjustRightInd w:val="0"/>
      <w:spacing w:before="100" w:after="100"/>
      <w:ind w:left="360" w:right="360"/>
      <w:jc w:val="left"/>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微软（中国）有限公司</Company>
  <Pages>1</Pages>
  <Words>5305</Words>
  <Characters>30245</Characters>
  <Lines>252</Lines>
  <Paragraphs>70</Paragraphs>
  <TotalTime>11</TotalTime>
  <ScaleCrop>false</ScaleCrop>
  <LinksUpToDate>false</LinksUpToDate>
  <CharactersWithSpaces>35480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2017-01-15T01:32:00Z</dcterms:created>
  <dc:creator>微软（中国）有限公司</dc:creator>
  <cp:lastModifiedBy>陈嘉文</cp:lastModifiedBy>
  <cp:lastPrinted>2021-03-11T08:50:00Z</cp:lastPrinted>
  <dcterms:modified xsi:type="dcterms:W3CDTF">2024-03-15T01:59:31Z</dcterms:modified>
  <dc:title>第一部分</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6338C7DCEA494ABEB158E45BAC7189E4_13</vt:lpwstr>
  </property>
</Properties>
</file>