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中山国际酒店“四害”及“白蚁”消杀治理服务项目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项目名称：中山国际酒店“四害”及“白蚁”消杀治理服务</w:t>
      </w:r>
      <w:r>
        <w:rPr>
          <w:rFonts w:hint="eastAsia" w:ascii="宋体" w:hAnsi="宋体" w:cs="宋体"/>
          <w:b/>
          <w:bCs w:val="0"/>
          <w:color w:val="auto"/>
          <w:sz w:val="22"/>
          <w:szCs w:val="22"/>
          <w:u w:val="none"/>
          <w:lang w:val="en-US" w:eastAsia="zh-CN"/>
        </w:rPr>
        <w:t>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项目上限价：￥58000.00元（超出上限价无效）。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为宾客提供卫生、安心的消费空间，现启动对中山国际酒店的“四害”及“白蚁”消杀治理服务项目的采购；</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7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22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7</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24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邮箱：496955859@qq.com或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7</w:t>
      </w:r>
      <w:r>
        <w:rPr>
          <w:rFonts w:hint="eastAsia" w:ascii="宋体" w:hAnsi="宋体" w:eastAsia="宋体" w:cs="宋体"/>
          <w:sz w:val="22"/>
          <w:szCs w:val="22"/>
        </w:rPr>
        <w:t>月</w:t>
      </w:r>
      <w:r>
        <w:rPr>
          <w:rFonts w:hint="eastAsia" w:ascii="宋体" w:hAnsi="宋体" w:cs="宋体"/>
          <w:sz w:val="22"/>
          <w:szCs w:val="22"/>
          <w:lang w:val="en-US" w:eastAsia="zh-CN"/>
        </w:rPr>
        <w:t xml:space="preserve"> 25</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142号中山国际酒店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bookmarkStart w:id="0" w:name="_GoBack"/>
      <w:bookmarkEnd w:id="0"/>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中山国际酒店</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7</w:t>
      </w:r>
      <w:r>
        <w:rPr>
          <w:rFonts w:hint="eastAsia" w:ascii="宋体" w:hAnsi="宋体" w:eastAsia="宋体" w:cs="宋体"/>
          <w:sz w:val="22"/>
          <w:szCs w:val="22"/>
        </w:rPr>
        <w:t>月</w:t>
      </w:r>
      <w:r>
        <w:rPr>
          <w:rFonts w:hint="eastAsia" w:ascii="宋体" w:hAnsi="宋体" w:cs="宋体"/>
          <w:sz w:val="22"/>
          <w:szCs w:val="22"/>
          <w:lang w:val="en-US" w:eastAsia="zh-CN"/>
        </w:rPr>
        <w:t>22</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项目名称：</w:t>
      </w:r>
      <w:r>
        <w:rPr>
          <w:rFonts w:hint="eastAsia" w:ascii="宋体" w:hAnsi="宋体" w:eastAsia="宋体" w:cs="宋体"/>
          <w:b/>
          <w:sz w:val="24"/>
          <w:szCs w:val="24"/>
          <w:highlight w:val="none"/>
          <w:u w:val="single"/>
        </w:rPr>
        <w:t>中山国际酒店“四害”及“白蚁”消杀治理服务项目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rPr>
        <w:t>中山国际酒店“四害”及“白蚁”消杀治理服务项目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中山国际酒店“四害”及“白蚁”消杀治理服务项目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附件2：中山国际酒店2026年—202</w:t>
      </w:r>
      <w:r>
        <w:rPr>
          <w:rFonts w:hint="eastAsia" w:ascii="宋体" w:hAnsi="宋体" w:cs="宋体"/>
          <w:b/>
          <w:bCs/>
          <w:sz w:val="32"/>
          <w:szCs w:val="32"/>
          <w:lang w:val="en-US" w:eastAsia="zh-CN"/>
        </w:rPr>
        <w:t>7</w:t>
      </w:r>
      <w:r>
        <w:rPr>
          <w:rFonts w:hint="eastAsia" w:ascii="宋体" w:hAnsi="宋体" w:eastAsia="宋体" w:cs="宋体"/>
          <w:b/>
          <w:bCs/>
          <w:sz w:val="32"/>
          <w:szCs w:val="32"/>
        </w:rPr>
        <w:t>年四害、白蚁灭治服务项目报价单</w:t>
      </w:r>
    </w:p>
    <w:tbl>
      <w:tblPr>
        <w:tblStyle w:val="15"/>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4"/>
        <w:gridCol w:w="4050"/>
        <w:gridCol w:w="2673"/>
        <w:gridCol w:w="3177"/>
        <w:gridCol w:w="1571"/>
        <w:gridCol w:w="1300"/>
      </w:tblGrid>
      <w:tr w14:paraId="2C226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A38D">
            <w:pPr>
              <w:keepNext w:val="0"/>
              <w:keepLines w:val="0"/>
              <w:widowControl/>
              <w:suppressLineNumbers w:val="0"/>
              <w:jc w:val="center"/>
              <w:textAlignment w:val="bottom"/>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服务</w:t>
            </w:r>
          </w:p>
          <w:p w14:paraId="32B66156">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类型</w:t>
            </w:r>
          </w:p>
        </w:tc>
        <w:tc>
          <w:tcPr>
            <w:tcW w:w="4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C4B1">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服务区域</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F83D">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防治类型</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4D53">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服务周期及频次</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30D8">
            <w:pPr>
              <w:keepNext w:val="0"/>
              <w:keepLines w:val="0"/>
              <w:widowControl/>
              <w:suppressLineNumbers w:val="0"/>
              <w:jc w:val="center"/>
              <w:textAlignment w:val="bottom"/>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含税单价</w:t>
            </w:r>
          </w:p>
          <w:p w14:paraId="5BD377B3">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（元）</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9D33">
            <w:pPr>
              <w:keepNext w:val="0"/>
              <w:keepLines w:val="0"/>
              <w:widowControl/>
              <w:suppressLineNumbers w:val="0"/>
              <w:jc w:val="center"/>
              <w:textAlignment w:val="bottom"/>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含税全年</w:t>
            </w:r>
            <w:r>
              <w:rPr>
                <w:rFonts w:hint="eastAsia" w:ascii="宋体" w:hAnsi="宋体" w:eastAsia="宋体" w:cs="宋体"/>
                <w:b/>
                <w:bCs/>
                <w:i w:val="0"/>
                <w:iCs w:val="0"/>
                <w:color w:val="000000"/>
                <w:kern w:val="0"/>
                <w:sz w:val="20"/>
                <w:szCs w:val="20"/>
                <w:u w:val="none"/>
                <w:lang w:val="en-US" w:eastAsia="zh-CN" w:bidi="ar"/>
              </w:rPr>
              <w:t>总费用</w:t>
            </w:r>
          </w:p>
          <w:p w14:paraId="33A2CBD6">
            <w:pPr>
              <w:keepNext w:val="0"/>
              <w:keepLines w:val="0"/>
              <w:widowControl/>
              <w:suppressLineNumbers w:val="0"/>
              <w:jc w:val="center"/>
              <w:textAlignment w:val="bottom"/>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（元）</w:t>
            </w:r>
          </w:p>
        </w:tc>
      </w:tr>
      <w:tr w14:paraId="21182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964" w:type="dxa"/>
            <w:vMerge w:val="restart"/>
            <w:tcBorders>
              <w:top w:val="single" w:color="000000" w:sz="4" w:space="0"/>
              <w:left w:val="single" w:color="000000" w:sz="4" w:space="0"/>
              <w:right w:val="single" w:color="000000" w:sz="4" w:space="0"/>
            </w:tcBorders>
            <w:shd w:val="clear" w:color="auto" w:fill="auto"/>
            <w:vAlign w:val="center"/>
          </w:tcPr>
          <w:p w14:paraId="4FBD8820">
            <w:pPr>
              <w:keepNext w:val="0"/>
              <w:keepLines w:val="0"/>
              <w:widowControl/>
              <w:suppressLineNumbers w:val="0"/>
              <w:jc w:val="both"/>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rPr>
              <w:t>四</w:t>
            </w:r>
            <w:r>
              <w:rPr>
                <w:rFonts w:hint="eastAsia" w:ascii="宋体" w:hAnsi="宋体" w:cs="宋体"/>
                <w:i w:val="0"/>
                <w:iCs w:val="0"/>
                <w:color w:val="000000"/>
                <w:sz w:val="20"/>
                <w:szCs w:val="20"/>
                <w:u w:val="none"/>
                <w:lang w:val="en-US" w:eastAsia="zh-CN"/>
              </w:rPr>
              <w:t>害消杀</w:t>
            </w:r>
            <w:r>
              <w:rPr>
                <w:rFonts w:hint="eastAsia" w:ascii="宋体" w:hAnsi="宋体" w:eastAsia="宋体" w:cs="宋体"/>
                <w:i w:val="0"/>
                <w:iCs w:val="0"/>
                <w:color w:val="000000"/>
                <w:sz w:val="20"/>
                <w:szCs w:val="20"/>
                <w:u w:val="none"/>
              </w:rPr>
              <w:t>、白蚁灭治</w:t>
            </w:r>
            <w:r>
              <w:rPr>
                <w:rFonts w:hint="eastAsia" w:ascii="宋体" w:hAnsi="宋体" w:cs="宋体"/>
                <w:i w:val="0"/>
                <w:iCs w:val="0"/>
                <w:color w:val="000000"/>
                <w:sz w:val="20"/>
                <w:szCs w:val="20"/>
                <w:u w:val="none"/>
                <w:lang w:val="en-US" w:eastAsia="zh-CN"/>
              </w:rPr>
              <w:t>服务</w:t>
            </w:r>
          </w:p>
        </w:tc>
        <w:tc>
          <w:tcPr>
            <w:tcW w:w="4050" w:type="dxa"/>
            <w:vMerge w:val="restart"/>
            <w:tcBorders>
              <w:top w:val="single" w:color="000000" w:sz="4" w:space="0"/>
              <w:left w:val="single" w:color="000000" w:sz="4" w:space="0"/>
              <w:right w:val="single" w:color="000000" w:sz="4" w:space="0"/>
            </w:tcBorders>
            <w:shd w:val="clear" w:color="auto" w:fill="auto"/>
            <w:vAlign w:val="center"/>
          </w:tcPr>
          <w:p w14:paraId="361E57A5">
            <w:pPr>
              <w:keepNext w:val="0"/>
              <w:keepLines w:val="0"/>
              <w:widowControl/>
              <w:suppressLineNumbers w:val="0"/>
              <w:spacing w:line="240" w:lineRule="auto"/>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中山国际酒店所属范围内，包括但不限于：酒店客房、公寓区域、酒店公共区域、4楼国际会展中心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餐饮区、餐厅厨房、行政区域、办公区域、商务中心、宴会厅、平台花园、健身房、游泳池、洗手间、仓库、垃圾房、洗衣房、污水池、下水道、天面、天台、电梯间、建筑物外围、车库、员工餐厅、员工宿舍、酒店外围绿化带等中山国际酒店所属范围场所。</w:t>
            </w: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2198">
            <w:pPr>
              <w:keepNext w:val="0"/>
              <w:keepLines w:val="0"/>
              <w:widowControl/>
              <w:numPr>
                <w:ilvl w:val="0"/>
                <w:numId w:val="0"/>
              </w:numPr>
              <w:suppressLineNumbers w:val="0"/>
              <w:jc w:val="both"/>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b w:val="0"/>
                <w:bCs/>
                <w:sz w:val="21"/>
                <w:szCs w:val="21"/>
                <w:lang w:val="en-US" w:eastAsia="zh-CN"/>
              </w:rPr>
              <w:t>老鼠</w:t>
            </w:r>
            <w:r>
              <w:rPr>
                <w:rFonts w:hint="eastAsia" w:ascii="宋体" w:hAnsi="宋体" w:eastAsia="宋体" w:cs="宋体"/>
                <w:b w:val="0"/>
                <w:bCs/>
                <w:sz w:val="21"/>
                <w:szCs w:val="21"/>
              </w:rPr>
              <w:t>灭治服务</w:t>
            </w:r>
          </w:p>
        </w:tc>
        <w:tc>
          <w:tcPr>
            <w:tcW w:w="3177" w:type="dxa"/>
            <w:tcBorders>
              <w:top w:val="single" w:color="000000" w:sz="4" w:space="0"/>
              <w:left w:val="single" w:color="000000" w:sz="4" w:space="0"/>
              <w:bottom w:val="single" w:color="auto" w:sz="4" w:space="0"/>
              <w:right w:val="single" w:color="000000" w:sz="4" w:space="0"/>
            </w:tcBorders>
            <w:shd w:val="clear" w:color="auto" w:fill="auto"/>
            <w:vAlign w:val="center"/>
          </w:tcPr>
          <w:p w14:paraId="5A7FA0EE">
            <w:pPr>
              <w:keepNext w:val="0"/>
              <w:keepLines w:val="0"/>
              <w:widowControl/>
              <w:suppressLineNumbers w:val="0"/>
              <w:spacing w:line="240" w:lineRule="auto"/>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sz w:val="21"/>
                <w:szCs w:val="21"/>
              </w:rPr>
              <w:t>每月施工</w:t>
            </w: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次</w:t>
            </w:r>
          </w:p>
        </w:tc>
        <w:tc>
          <w:tcPr>
            <w:tcW w:w="1571" w:type="dxa"/>
            <w:tcBorders>
              <w:top w:val="single" w:color="000000" w:sz="4" w:space="0"/>
              <w:left w:val="single" w:color="000000" w:sz="4" w:space="0"/>
              <w:bottom w:val="single" w:color="auto" w:sz="4" w:space="0"/>
              <w:right w:val="single" w:color="000000" w:sz="4" w:space="0"/>
            </w:tcBorders>
            <w:shd w:val="clear" w:color="auto" w:fill="auto"/>
            <w:vAlign w:val="center"/>
          </w:tcPr>
          <w:p w14:paraId="32803EEB">
            <w:pPr>
              <w:jc w:val="both"/>
              <w:rPr>
                <w:rFonts w:hint="default" w:ascii="宋体" w:hAnsi="宋体" w:eastAsia="宋体" w:cs="宋体"/>
                <w:i w:val="0"/>
                <w:iCs w:val="0"/>
                <w:color w:val="000000"/>
                <w:sz w:val="20"/>
                <w:szCs w:val="20"/>
                <w:u w:val="none"/>
                <w:lang w:val="en-US" w:eastAsia="zh-CN"/>
              </w:rPr>
            </w:pPr>
          </w:p>
        </w:tc>
        <w:tc>
          <w:tcPr>
            <w:tcW w:w="1300" w:type="dxa"/>
            <w:tcBorders>
              <w:top w:val="single" w:color="000000" w:sz="4" w:space="0"/>
              <w:left w:val="single" w:color="000000" w:sz="4" w:space="0"/>
              <w:bottom w:val="single" w:color="auto" w:sz="4" w:space="0"/>
              <w:right w:val="single" w:color="000000" w:sz="4" w:space="0"/>
            </w:tcBorders>
            <w:shd w:val="clear" w:color="auto" w:fill="auto"/>
            <w:vAlign w:val="center"/>
          </w:tcPr>
          <w:p w14:paraId="184CFB32">
            <w:pPr>
              <w:jc w:val="both"/>
              <w:rPr>
                <w:rFonts w:hint="default" w:ascii="宋体" w:hAnsi="宋体" w:eastAsia="宋体" w:cs="宋体"/>
                <w:i w:val="0"/>
                <w:iCs w:val="0"/>
                <w:color w:val="000000"/>
                <w:sz w:val="20"/>
                <w:szCs w:val="20"/>
                <w:u w:val="none"/>
                <w:lang w:val="en-US" w:eastAsia="zh-CN"/>
              </w:rPr>
            </w:pPr>
          </w:p>
        </w:tc>
      </w:tr>
      <w:tr w14:paraId="46E9B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7" w:hRule="atLeast"/>
        </w:trPr>
        <w:tc>
          <w:tcPr>
            <w:tcW w:w="964" w:type="dxa"/>
            <w:vMerge w:val="continue"/>
            <w:tcBorders>
              <w:left w:val="single" w:color="000000" w:sz="4" w:space="0"/>
              <w:right w:val="single" w:color="000000" w:sz="4" w:space="0"/>
            </w:tcBorders>
            <w:shd w:val="clear" w:color="auto" w:fill="auto"/>
            <w:vAlign w:val="center"/>
          </w:tcPr>
          <w:p w14:paraId="629EB2CD">
            <w:pPr>
              <w:keepNext w:val="0"/>
              <w:keepLines w:val="0"/>
              <w:widowControl/>
              <w:suppressLineNumbers w:val="0"/>
              <w:jc w:val="both"/>
              <w:textAlignment w:val="center"/>
            </w:pPr>
          </w:p>
        </w:tc>
        <w:tc>
          <w:tcPr>
            <w:tcW w:w="4050" w:type="dxa"/>
            <w:vMerge w:val="continue"/>
            <w:tcBorders>
              <w:left w:val="single" w:color="000000" w:sz="4" w:space="0"/>
              <w:right w:val="single" w:color="000000" w:sz="4" w:space="0"/>
            </w:tcBorders>
            <w:shd w:val="clear" w:color="auto" w:fill="auto"/>
            <w:vAlign w:val="center"/>
          </w:tcPr>
          <w:p w14:paraId="089ED693">
            <w:pPr>
              <w:keepNext w:val="0"/>
              <w:keepLines w:val="0"/>
              <w:widowControl/>
              <w:suppressLineNumbers w:val="0"/>
              <w:jc w:val="both"/>
              <w:textAlignment w:val="center"/>
            </w:pP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054E">
            <w:pPr>
              <w:keepNext w:val="0"/>
              <w:keepLines w:val="0"/>
              <w:widowControl/>
              <w:numPr>
                <w:ilvl w:val="0"/>
                <w:numId w:val="0"/>
              </w:numPr>
              <w:suppressLineNumbers w:val="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b w:val="0"/>
                <w:bCs/>
                <w:sz w:val="21"/>
                <w:szCs w:val="21"/>
              </w:rPr>
              <w:t>蟑螂</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苍蝇</w:t>
            </w:r>
            <w:r>
              <w:rPr>
                <w:rFonts w:hint="eastAsia" w:ascii="宋体" w:hAnsi="宋体" w:eastAsia="宋体" w:cs="宋体"/>
                <w:b w:val="0"/>
                <w:bCs/>
                <w:sz w:val="21"/>
                <w:szCs w:val="21"/>
                <w:lang w:eastAsia="zh-CN"/>
              </w:rPr>
              <w:t>、</w:t>
            </w:r>
            <w:r>
              <w:rPr>
                <w:rFonts w:hint="eastAsia" w:ascii="宋体" w:hAnsi="宋体" w:eastAsia="宋体" w:cs="宋体"/>
                <w:b w:val="0"/>
                <w:bCs/>
                <w:sz w:val="21"/>
                <w:szCs w:val="21"/>
              </w:rPr>
              <w:t>蚊</w:t>
            </w:r>
            <w:r>
              <w:rPr>
                <w:rFonts w:hint="eastAsia" w:ascii="宋体" w:hAnsi="宋体" w:eastAsia="宋体" w:cs="宋体"/>
                <w:b w:val="0"/>
                <w:bCs/>
                <w:sz w:val="21"/>
                <w:szCs w:val="21"/>
                <w:lang w:val="en-US" w:eastAsia="zh-CN"/>
              </w:rPr>
              <w:t>类灭治服务</w:t>
            </w:r>
          </w:p>
        </w:tc>
        <w:tc>
          <w:tcPr>
            <w:tcW w:w="3177" w:type="dxa"/>
            <w:tcBorders>
              <w:top w:val="single" w:color="auto" w:sz="4" w:space="0"/>
              <w:left w:val="single" w:color="000000" w:sz="4" w:space="0"/>
              <w:bottom w:val="single" w:color="auto" w:sz="4" w:space="0"/>
              <w:right w:val="single" w:color="000000" w:sz="4" w:space="0"/>
            </w:tcBorders>
            <w:shd w:val="clear" w:color="auto" w:fill="auto"/>
            <w:vAlign w:val="center"/>
          </w:tcPr>
          <w:p w14:paraId="3C05710E">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b w:val="0"/>
                <w:bCs/>
                <w:sz w:val="21"/>
                <w:szCs w:val="21"/>
              </w:rPr>
              <w:t>每月</w:t>
            </w:r>
            <w:r>
              <w:rPr>
                <w:rFonts w:hint="eastAsia" w:ascii="宋体" w:hAnsi="宋体" w:eastAsia="宋体" w:cs="宋体"/>
                <w:b w:val="0"/>
                <w:bCs/>
                <w:sz w:val="21"/>
                <w:szCs w:val="21"/>
                <w:lang w:val="en-US" w:eastAsia="zh-CN"/>
              </w:rPr>
              <w:t>施工4次</w:t>
            </w:r>
          </w:p>
        </w:tc>
        <w:tc>
          <w:tcPr>
            <w:tcW w:w="1571" w:type="dxa"/>
            <w:tcBorders>
              <w:top w:val="single" w:color="auto" w:sz="4" w:space="0"/>
              <w:left w:val="single" w:color="000000" w:sz="4" w:space="0"/>
              <w:bottom w:val="single" w:color="auto" w:sz="4" w:space="0"/>
              <w:right w:val="single" w:color="000000" w:sz="4" w:space="0"/>
            </w:tcBorders>
            <w:shd w:val="clear" w:color="auto" w:fill="auto"/>
            <w:vAlign w:val="center"/>
          </w:tcPr>
          <w:p w14:paraId="053EADB2">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c>
          <w:tcPr>
            <w:tcW w:w="1300" w:type="dxa"/>
            <w:tcBorders>
              <w:top w:val="single" w:color="auto" w:sz="4" w:space="0"/>
              <w:left w:val="single" w:color="000000" w:sz="4" w:space="0"/>
              <w:bottom w:val="single" w:color="auto" w:sz="4" w:space="0"/>
              <w:right w:val="single" w:color="000000" w:sz="4" w:space="0"/>
            </w:tcBorders>
            <w:shd w:val="clear" w:color="auto" w:fill="auto"/>
            <w:vAlign w:val="center"/>
          </w:tcPr>
          <w:p w14:paraId="79F0C534">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r>
      <w:tr w14:paraId="30759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7" w:hRule="atLeast"/>
        </w:trPr>
        <w:tc>
          <w:tcPr>
            <w:tcW w:w="964" w:type="dxa"/>
            <w:vMerge w:val="continue"/>
            <w:tcBorders>
              <w:left w:val="single" w:color="000000" w:sz="4" w:space="0"/>
              <w:bottom w:val="single" w:color="000000" w:sz="4" w:space="0"/>
              <w:right w:val="single" w:color="000000" w:sz="4" w:space="0"/>
            </w:tcBorders>
            <w:shd w:val="clear" w:color="auto" w:fill="auto"/>
            <w:vAlign w:val="center"/>
          </w:tcPr>
          <w:p w14:paraId="171CB875">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c>
          <w:tcPr>
            <w:tcW w:w="4050" w:type="dxa"/>
            <w:vMerge w:val="continue"/>
            <w:tcBorders>
              <w:left w:val="single" w:color="000000" w:sz="4" w:space="0"/>
              <w:bottom w:val="single" w:color="000000" w:sz="4" w:space="0"/>
              <w:right w:val="single" w:color="000000" w:sz="4" w:space="0"/>
            </w:tcBorders>
            <w:shd w:val="clear" w:color="auto" w:fill="auto"/>
            <w:vAlign w:val="center"/>
          </w:tcPr>
          <w:p w14:paraId="49F456D6">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c>
          <w:tcPr>
            <w:tcW w:w="2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468FA">
            <w:pPr>
              <w:keepNext w:val="0"/>
              <w:keepLines w:val="0"/>
              <w:widowControl/>
              <w:numPr>
                <w:ilvl w:val="0"/>
                <w:numId w:val="0"/>
              </w:numPr>
              <w:suppressLineNumbers w:val="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b w:val="0"/>
                <w:bCs/>
                <w:sz w:val="21"/>
                <w:szCs w:val="21"/>
                <w:lang w:val="en-US" w:eastAsia="zh-CN"/>
              </w:rPr>
              <w:t>白蚁</w:t>
            </w:r>
            <w:r>
              <w:rPr>
                <w:rFonts w:hint="eastAsia" w:ascii="宋体" w:hAnsi="宋体" w:eastAsia="宋体" w:cs="宋体"/>
                <w:b w:val="0"/>
                <w:bCs/>
                <w:sz w:val="21"/>
                <w:szCs w:val="21"/>
              </w:rPr>
              <w:t>灭治服</w:t>
            </w:r>
            <w:r>
              <w:rPr>
                <w:rFonts w:hint="eastAsia" w:ascii="宋体" w:hAnsi="宋体" w:eastAsia="宋体" w:cs="宋体"/>
                <w:b w:val="0"/>
                <w:bCs/>
                <w:sz w:val="21"/>
                <w:szCs w:val="21"/>
                <w:lang w:eastAsia="zh-CN"/>
              </w:rPr>
              <w:t>务</w:t>
            </w:r>
          </w:p>
        </w:tc>
        <w:tc>
          <w:tcPr>
            <w:tcW w:w="3177" w:type="dxa"/>
            <w:tcBorders>
              <w:top w:val="single" w:color="auto" w:sz="4" w:space="0"/>
              <w:left w:val="single" w:color="000000" w:sz="4" w:space="0"/>
              <w:bottom w:val="single" w:color="000000" w:sz="4" w:space="0"/>
              <w:right w:val="single" w:color="000000" w:sz="4" w:space="0"/>
            </w:tcBorders>
            <w:shd w:val="clear" w:color="auto" w:fill="auto"/>
            <w:vAlign w:val="center"/>
          </w:tcPr>
          <w:p w14:paraId="7978FE00">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b w:val="0"/>
                <w:bCs/>
                <w:sz w:val="21"/>
                <w:szCs w:val="21"/>
              </w:rPr>
              <w:t>每</w:t>
            </w:r>
            <w:r>
              <w:rPr>
                <w:rFonts w:hint="eastAsia" w:ascii="宋体" w:hAnsi="宋体" w:eastAsia="宋体" w:cs="宋体"/>
                <w:b w:val="0"/>
                <w:bCs/>
                <w:sz w:val="21"/>
                <w:szCs w:val="21"/>
                <w:lang w:val="en-US" w:eastAsia="zh-CN"/>
              </w:rPr>
              <w:t>两</w:t>
            </w:r>
            <w:r>
              <w:rPr>
                <w:rFonts w:hint="eastAsia" w:ascii="宋体" w:hAnsi="宋体" w:eastAsia="宋体" w:cs="宋体"/>
                <w:b w:val="0"/>
                <w:bCs/>
                <w:sz w:val="21"/>
                <w:szCs w:val="21"/>
              </w:rPr>
              <w:t>月施工</w:t>
            </w:r>
            <w:r>
              <w:rPr>
                <w:rFonts w:hint="eastAsia" w:ascii="宋体" w:hAnsi="宋体" w:eastAsia="宋体" w:cs="宋体"/>
                <w:b w:val="0"/>
                <w:bCs/>
                <w:sz w:val="21"/>
                <w:szCs w:val="21"/>
                <w:lang w:val="en-US" w:eastAsia="zh-CN"/>
              </w:rPr>
              <w:t>1</w:t>
            </w:r>
            <w:r>
              <w:rPr>
                <w:rFonts w:hint="eastAsia" w:ascii="宋体" w:hAnsi="宋体" w:eastAsia="宋体" w:cs="宋体"/>
                <w:b w:val="0"/>
                <w:bCs/>
                <w:sz w:val="21"/>
                <w:szCs w:val="21"/>
              </w:rPr>
              <w:t>次</w:t>
            </w:r>
          </w:p>
        </w:tc>
        <w:tc>
          <w:tcPr>
            <w:tcW w:w="1571" w:type="dxa"/>
            <w:tcBorders>
              <w:top w:val="single" w:color="auto" w:sz="4" w:space="0"/>
              <w:left w:val="single" w:color="000000" w:sz="4" w:space="0"/>
              <w:bottom w:val="single" w:color="000000" w:sz="4" w:space="0"/>
              <w:right w:val="single" w:color="000000" w:sz="4" w:space="0"/>
            </w:tcBorders>
            <w:shd w:val="clear" w:color="auto" w:fill="auto"/>
            <w:vAlign w:val="center"/>
          </w:tcPr>
          <w:p w14:paraId="0FEFA175">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c>
          <w:tcPr>
            <w:tcW w:w="1300" w:type="dxa"/>
            <w:tcBorders>
              <w:top w:val="single" w:color="auto" w:sz="4" w:space="0"/>
              <w:left w:val="single" w:color="000000" w:sz="4" w:space="0"/>
              <w:bottom w:val="single" w:color="000000" w:sz="4" w:space="0"/>
              <w:right w:val="single" w:color="000000" w:sz="4" w:space="0"/>
            </w:tcBorders>
            <w:shd w:val="clear" w:color="auto" w:fill="auto"/>
            <w:vAlign w:val="center"/>
          </w:tcPr>
          <w:p w14:paraId="51298BDA">
            <w:pPr>
              <w:keepNext w:val="0"/>
              <w:keepLines w:val="0"/>
              <w:widowControl/>
              <w:suppressLineNumbers w:val="0"/>
              <w:jc w:val="both"/>
              <w:textAlignment w:val="center"/>
              <w:rPr>
                <w:rFonts w:hint="eastAsia" w:ascii="宋体" w:hAnsi="宋体" w:cs="宋体"/>
                <w:i w:val="0"/>
                <w:iCs w:val="0"/>
                <w:color w:val="000000"/>
                <w:kern w:val="0"/>
                <w:sz w:val="20"/>
                <w:szCs w:val="20"/>
                <w:u w:val="none"/>
                <w:lang w:val="en-US" w:eastAsia="zh-CN" w:bidi="ar"/>
              </w:rPr>
            </w:pPr>
          </w:p>
        </w:tc>
      </w:tr>
      <w:tr w14:paraId="43D7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243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C39385">
            <w:pPr>
              <w:jc w:val="right"/>
              <w:rPr>
                <w:rFonts w:hint="default" w:ascii="宋体" w:hAnsi="宋体" w:eastAsia="宋体" w:cs="宋体"/>
                <w:i w:val="0"/>
                <w:iCs w:val="0"/>
                <w:color w:val="000000"/>
                <w:sz w:val="20"/>
                <w:szCs w:val="20"/>
                <w:u w:val="none"/>
                <w:lang w:val="en-US" w:eastAsia="zh-CN"/>
              </w:rPr>
            </w:pPr>
            <w:r>
              <w:rPr>
                <w:rFonts w:hint="eastAsia" w:ascii="宋体" w:hAnsi="宋体" w:cs="宋体"/>
                <w:b/>
                <w:bCs/>
                <w:i w:val="0"/>
                <w:iCs w:val="0"/>
                <w:color w:val="000000"/>
                <w:sz w:val="21"/>
                <w:szCs w:val="21"/>
                <w:u w:val="none"/>
                <w:lang w:val="en-US" w:eastAsia="zh-CN"/>
              </w:rPr>
              <w:t>含税项目总额（元）：</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8C71">
            <w:pPr>
              <w:jc w:val="both"/>
              <w:rPr>
                <w:rFonts w:hint="default" w:ascii="宋体" w:hAnsi="宋体" w:eastAsia="宋体" w:cs="宋体"/>
                <w:i w:val="0"/>
                <w:iCs w:val="0"/>
                <w:color w:val="000000"/>
                <w:sz w:val="20"/>
                <w:szCs w:val="20"/>
                <w:u w:val="none"/>
                <w:lang w:val="en-US" w:eastAsia="zh-CN"/>
              </w:rPr>
            </w:pPr>
          </w:p>
        </w:tc>
      </w:tr>
      <w:tr w14:paraId="7D47F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4120">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服务</w:t>
            </w:r>
          </w:p>
          <w:p w14:paraId="71CA0BD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说明</w:t>
            </w:r>
          </w:p>
        </w:tc>
        <w:tc>
          <w:tcPr>
            <w:tcW w:w="127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EBF6B9">
            <w:pPr>
              <w:keepNext w:val="0"/>
              <w:keepLines w:val="0"/>
              <w:widowControl/>
              <w:numPr>
                <w:ilvl w:val="0"/>
                <w:numId w:val="9"/>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以上报价包含人工、药物、税金、交通、管理费等完成此项目所需的全部费用，并开具</w:t>
            </w:r>
            <w:r>
              <w:rPr>
                <w:rFonts w:hint="eastAsia" w:ascii="宋体" w:hAnsi="宋体" w:eastAsia="宋体" w:cs="宋体"/>
                <w:i w:val="0"/>
                <w:iCs w:val="0"/>
                <w:color w:val="000000"/>
                <w:kern w:val="0"/>
                <w:sz w:val="20"/>
                <w:szCs w:val="20"/>
                <w:u w:val="single"/>
                <w:lang w:val="en-US" w:eastAsia="zh-CN" w:bidi="ar"/>
              </w:rPr>
              <w:t xml:space="preserve"> </w:t>
            </w:r>
            <w:r>
              <w:rPr>
                <w:rFonts w:hint="eastAsia" w:ascii="宋体" w:hAnsi="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singl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 xml:space="preserve">% </w:t>
            </w:r>
            <w:r>
              <w:rPr>
                <w:rFonts w:hint="default" w:eastAsia="宋体" w:cs="宋体" w:asciiTheme="minorAscii" w:hAnsiTheme="minorAscii"/>
                <w:i w:val="0"/>
                <w:iCs w:val="0"/>
                <w:color w:val="000000"/>
                <w:kern w:val="0"/>
                <w:sz w:val="20"/>
                <w:szCs w:val="20"/>
                <w:u w:val="none"/>
                <w:lang w:val="en-US" w:eastAsia="zh-CN" w:bidi="ar"/>
              </w:rPr>
              <w:sym w:font="Wingdings" w:char="00A8"/>
            </w:r>
            <w:r>
              <w:rPr>
                <w:rFonts w:hint="eastAsia" w:ascii="宋体" w:hAnsi="宋体" w:eastAsia="宋体" w:cs="宋体"/>
                <w:i w:val="0"/>
                <w:iCs w:val="0"/>
                <w:color w:val="000000"/>
                <w:kern w:val="0"/>
                <w:sz w:val="20"/>
                <w:szCs w:val="20"/>
                <w:u w:val="none"/>
                <w:lang w:val="en-US" w:eastAsia="zh-CN" w:bidi="ar"/>
              </w:rPr>
              <w:t xml:space="preserve">增值税专用发票 或 </w:t>
            </w:r>
            <w:r>
              <w:rPr>
                <w:rFonts w:hint="default" w:eastAsia="宋体" w:cs="宋体" w:asciiTheme="minorAscii" w:hAnsiTheme="minorAscii"/>
                <w:i w:val="0"/>
                <w:iCs w:val="0"/>
                <w:color w:val="000000"/>
                <w:kern w:val="0"/>
                <w:sz w:val="20"/>
                <w:szCs w:val="20"/>
                <w:u w:val="none"/>
                <w:lang w:val="en-US" w:eastAsia="zh-CN" w:bidi="ar"/>
              </w:rPr>
              <w:sym w:font="Wingdings" w:char="00A8"/>
            </w:r>
            <w:r>
              <w:rPr>
                <w:rFonts w:hint="eastAsia" w:ascii="宋体" w:hAnsi="宋体" w:eastAsia="宋体" w:cs="宋体"/>
                <w:i w:val="0"/>
                <w:iCs w:val="0"/>
                <w:color w:val="000000"/>
                <w:kern w:val="0"/>
                <w:sz w:val="20"/>
                <w:szCs w:val="20"/>
                <w:u w:val="none"/>
                <w:lang w:val="en-US" w:eastAsia="zh-CN" w:bidi="ar"/>
              </w:rPr>
              <w:t>普通发票（请在框里打钩）。</w:t>
            </w:r>
          </w:p>
          <w:p w14:paraId="459B92BF">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二、服务标准：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鼠密度不超过5%（粉迹法），在酒店建筑外围环境设置诱饵站，每个间距为15米—30米；每个月更换一次灭鼠诱饵（谷物及蜡块）。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灭蟑标准：室内有蟑螂成虫或幼虫阳性房间不超过3%，有粪便、蜕皮的蟑迹的房间不超过5%，垃圾堆放、食堂，员工聚集区，潮湿环境等是蟑螂繁殖的集聚地使用无污染、无气味、高效连锁杀蟑饵剂来防治蟑螂。</w:t>
            </w:r>
            <w:r>
              <w:rPr>
                <w:rFonts w:hint="eastAsia" w:ascii="宋体" w:hAnsi="宋体" w:cs="宋体"/>
                <w:i w:val="0"/>
                <w:iCs w:val="0"/>
                <w:color w:val="000000"/>
                <w:kern w:val="0"/>
                <w:sz w:val="20"/>
                <w:szCs w:val="20"/>
                <w:u w:val="none"/>
                <w:lang w:val="en-US" w:eastAsia="zh-CN" w:bidi="ar"/>
              </w:rPr>
              <w:t>餐厅厨房</w:t>
            </w:r>
            <w:r>
              <w:rPr>
                <w:rFonts w:hint="eastAsia" w:ascii="宋体" w:hAnsi="宋体" w:eastAsia="宋体" w:cs="宋体"/>
                <w:i w:val="0"/>
                <w:iCs w:val="0"/>
                <w:color w:val="000000"/>
                <w:kern w:val="0"/>
                <w:sz w:val="20"/>
                <w:szCs w:val="20"/>
                <w:u w:val="none"/>
                <w:lang w:val="en-US" w:eastAsia="zh-CN" w:bidi="ar"/>
              </w:rPr>
              <w:t>定期采用滞留喷洒和热烟雾熏蒸。下水道、窨井等处都会有大和其他蟑螂滋生，采用滞留喷洒和热烟雾熏蒸。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w:t>
            </w:r>
            <w:r>
              <w:rPr>
                <w:rFonts w:hint="eastAsia" w:ascii="宋体" w:hAnsi="宋体" w:cs="宋体"/>
                <w:i w:val="0"/>
                <w:iCs w:val="0"/>
                <w:color w:val="000000"/>
                <w:kern w:val="0"/>
                <w:sz w:val="20"/>
                <w:szCs w:val="20"/>
                <w:u w:val="none"/>
                <w:lang w:val="en-US" w:eastAsia="zh-CN" w:bidi="ar"/>
              </w:rPr>
              <w:t>.灭蝇标准：</w:t>
            </w:r>
            <w:r>
              <w:rPr>
                <w:rFonts w:hint="eastAsia" w:ascii="宋体" w:hAnsi="宋体" w:eastAsia="宋体" w:cs="宋体"/>
                <w:i w:val="0"/>
                <w:iCs w:val="0"/>
                <w:color w:val="000000"/>
                <w:kern w:val="0"/>
                <w:sz w:val="20"/>
                <w:szCs w:val="20"/>
                <w:u w:val="none"/>
                <w:lang w:val="en-US" w:eastAsia="zh-CN" w:bidi="ar"/>
              </w:rPr>
              <w:t>服务区域外环境累计2000米蝇类孳生地不超过3处，垃圾收集点（箱、车、房）等处蝇幼及蛹的检出率不超过3%；阳性房间不超过3%,平均每阳性房间不超过5只。</w:t>
            </w:r>
          </w:p>
          <w:p w14:paraId="3E314099">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4</w:t>
            </w:r>
            <w:r>
              <w:rPr>
                <w:rFonts w:hint="eastAsia" w:ascii="宋体" w:hAnsi="宋体" w:cs="宋体"/>
                <w:i w:val="0"/>
                <w:iCs w:val="0"/>
                <w:color w:val="000000"/>
                <w:kern w:val="0"/>
                <w:sz w:val="20"/>
                <w:szCs w:val="20"/>
                <w:lang w:val="en-US" w:eastAsia="zh-CN" w:bidi="ar"/>
              </w:rPr>
              <w:t>.</w:t>
            </w:r>
            <w:r>
              <w:rPr>
                <w:rFonts w:hint="eastAsia" w:ascii="宋体" w:hAnsi="宋体" w:cs="宋体"/>
                <w:i w:val="0"/>
                <w:iCs w:val="0"/>
                <w:color w:val="000000"/>
                <w:kern w:val="0"/>
                <w:sz w:val="20"/>
                <w:szCs w:val="20"/>
                <w:u w:val="none"/>
                <w:lang w:val="en-US" w:eastAsia="zh-CN" w:bidi="ar"/>
              </w:rPr>
              <w:t>灭蚊标准：</w:t>
            </w:r>
            <w:r>
              <w:rPr>
                <w:rFonts w:hint="eastAsia" w:ascii="宋体" w:hAnsi="宋体" w:eastAsia="宋体" w:cs="宋体"/>
                <w:i w:val="0"/>
                <w:iCs w:val="0"/>
                <w:color w:val="000000"/>
                <w:kern w:val="0"/>
                <w:sz w:val="20"/>
                <w:szCs w:val="20"/>
                <w:u w:val="none"/>
                <w:lang w:val="en-US" w:eastAsia="zh-CN" w:bidi="ar"/>
              </w:rPr>
              <w:t>各类水体用500ml收集勺采集水体中的蚊幼虫或蛹阳性率不超过3%，阳性勺内幼虫或蛹的平均数不超过5只；内外环境各种存水器和积水中，蚊幼虫及蛹的阳性率不超过3%；白天人诱蚊30分钟，平均每人次诱获成蚊数不超过1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迅速检查和消灭</w:t>
            </w:r>
            <w:r>
              <w:rPr>
                <w:rFonts w:hint="eastAsia" w:ascii="宋体" w:hAnsi="宋体" w:cs="宋体"/>
                <w:i w:val="0"/>
                <w:iCs w:val="0"/>
                <w:color w:val="000000"/>
                <w:kern w:val="0"/>
                <w:sz w:val="20"/>
                <w:szCs w:val="20"/>
                <w:u w:val="none"/>
                <w:lang w:val="en-US" w:eastAsia="zh-CN" w:bidi="ar"/>
              </w:rPr>
              <w:t>酒店所属范围场所</w:t>
            </w:r>
            <w:r>
              <w:rPr>
                <w:rFonts w:hint="eastAsia" w:ascii="宋体" w:hAnsi="宋体" w:eastAsia="宋体" w:cs="宋体"/>
                <w:i w:val="0"/>
                <w:iCs w:val="0"/>
                <w:color w:val="000000"/>
                <w:kern w:val="0"/>
                <w:sz w:val="20"/>
                <w:szCs w:val="20"/>
                <w:u w:val="none"/>
                <w:lang w:val="en-US" w:eastAsia="zh-CN" w:bidi="ar"/>
              </w:rPr>
              <w:t>白蚁危害，不发生新的白蚁危害。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cs="宋体"/>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垃圾、污水等卫生基础设施符合有关要求。搞好环境卫生，清理卫生死角积水、杂物。</w:t>
            </w:r>
          </w:p>
          <w:p w14:paraId="4CF7BF67">
            <w:pPr>
              <w:keepNext w:val="0"/>
              <w:keepLines w:val="0"/>
              <w:widowControl/>
              <w:numPr>
                <w:ilvl w:val="0"/>
                <w:numId w:val="0"/>
              </w:numPr>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三、药物使用要求：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1.使用的药物需为国家相关部门允许使用（微毒、高效），对人畜无害的药物，以保证效果和安全。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2.特殊防控要求：餐饮区需避免药剂接触食材，保证食品安全。客房区：无异味、无残留，不影响宾客入住体验及健康。</w:t>
            </w:r>
          </w:p>
        </w:tc>
      </w:tr>
      <w:tr w14:paraId="4FFEE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A7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0"/>
                <w:szCs w:val="20"/>
                <w:vertAlign w:val="baseline"/>
                <w:lang w:val="en-US" w:eastAsia="zh-CN"/>
              </w:rPr>
            </w:pPr>
            <w:r>
              <w:rPr>
                <w:rFonts w:hint="eastAsia" w:ascii="宋体" w:hAnsi="宋体" w:eastAsia="宋体" w:cs="宋体"/>
                <w:sz w:val="20"/>
                <w:szCs w:val="20"/>
                <w:vertAlign w:val="baseline"/>
                <w:lang w:val="en-US" w:eastAsia="zh-CN"/>
              </w:rPr>
              <w:t>技术</w:t>
            </w:r>
          </w:p>
          <w:p w14:paraId="04875B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sz w:val="20"/>
                <w:szCs w:val="20"/>
                <w:vertAlign w:val="baseline"/>
                <w:lang w:val="en-US" w:eastAsia="zh-CN"/>
              </w:rPr>
              <w:t>条件</w:t>
            </w:r>
          </w:p>
        </w:tc>
        <w:tc>
          <w:tcPr>
            <w:tcW w:w="1277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A0FA5">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1</w:t>
            </w:r>
            <w:r>
              <w:rPr>
                <w:rFonts w:hint="eastAsia" w:ascii="宋体" w:hAnsi="宋体" w:cs="宋体"/>
                <w:i w:val="0"/>
                <w:iCs w:val="0"/>
                <w:color w:val="000000"/>
                <w:kern w:val="0"/>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上岗服务人员要严格遵守灭鼠杀虫技术操作规程，文明作业，并填写灭鼠杀虫服务记录卡作为当次服务的凭据，着统一工作服和佩戴上岗证。</w:t>
            </w:r>
          </w:p>
          <w:p w14:paraId="4CDF118F">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2</w:t>
            </w:r>
            <w:r>
              <w:rPr>
                <w:rFonts w:hint="eastAsia" w:ascii="宋体" w:hAnsi="宋体" w:cs="宋体"/>
                <w:i w:val="0"/>
                <w:iCs w:val="0"/>
                <w:color w:val="000000"/>
                <w:kern w:val="0"/>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在承包期内所服务的项目属下列情况之一未能达标的，应负处罚责任：</w:t>
            </w:r>
          </w:p>
          <w:p w14:paraId="77D64000">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1)活鼠、新鲜鼠咬痕、新鲜鼠粪超标的;</w:t>
            </w:r>
          </w:p>
          <w:p w14:paraId="3020B722">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2)成蝇、成蚊、蟑螂成若虫密度超标的;</w:t>
            </w:r>
          </w:p>
          <w:p w14:paraId="45394A53">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3</w:t>
            </w:r>
            <w:r>
              <w:rPr>
                <w:rFonts w:hint="eastAsia" w:ascii="宋体" w:hAnsi="宋体" w:cs="宋体"/>
                <w:i w:val="0"/>
                <w:iCs w:val="0"/>
                <w:color w:val="000000"/>
                <w:kern w:val="0"/>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有责任建议和指导甲方防鼠、防蝇设施的安装和做好日常老鼠巩固工作。</w:t>
            </w:r>
          </w:p>
          <w:p w14:paraId="3BE0FC04">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4</w:t>
            </w:r>
            <w:r>
              <w:rPr>
                <w:rFonts w:hint="eastAsia" w:ascii="宋体" w:hAnsi="宋体" w:cs="宋体"/>
                <w:i w:val="0"/>
                <w:iCs w:val="0"/>
                <w:color w:val="000000"/>
                <w:kern w:val="0"/>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所使用的灭鼠杀虫药物按国家规定要有“三证”或使用全国或市爱卫会专家委员会推荐和认定的药物，严禁使用急性灭鼠药或其他明文禁用药物。如药物使用不当引起人中毒或其他责任事故的，应承担责任</w:t>
            </w:r>
            <w:r>
              <w:rPr>
                <w:rFonts w:hint="eastAsia" w:ascii="宋体" w:hAnsi="宋体" w:cs="宋体"/>
                <w:i w:val="0"/>
                <w:iCs w:val="0"/>
                <w:color w:val="000000"/>
                <w:kern w:val="0"/>
                <w:sz w:val="20"/>
                <w:szCs w:val="20"/>
                <w:u w:val="none"/>
                <w:lang w:val="en-US" w:eastAsia="zh-CN" w:bidi="ar"/>
              </w:rPr>
              <w:t>。</w:t>
            </w:r>
          </w:p>
          <w:p w14:paraId="6A227D86">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lang w:val="en-US" w:eastAsia="zh-CN" w:bidi="ar"/>
              </w:rPr>
              <w:t>5</w:t>
            </w:r>
            <w:r>
              <w:rPr>
                <w:rFonts w:hint="eastAsia" w:ascii="宋体" w:hAnsi="宋体" w:cs="宋体"/>
                <w:i w:val="0"/>
                <w:iCs w:val="0"/>
                <w:color w:val="000000"/>
                <w:kern w:val="0"/>
                <w:sz w:val="20"/>
                <w:szCs w:val="20"/>
                <w:lang w:val="en-US" w:eastAsia="zh-CN" w:bidi="ar"/>
              </w:rPr>
              <w:t>.</w:t>
            </w:r>
            <w:r>
              <w:rPr>
                <w:rFonts w:hint="eastAsia" w:ascii="宋体" w:hAnsi="宋体" w:eastAsia="宋体" w:cs="宋体"/>
                <w:i w:val="0"/>
                <w:iCs w:val="0"/>
                <w:color w:val="000000"/>
                <w:kern w:val="0"/>
                <w:sz w:val="20"/>
                <w:szCs w:val="20"/>
                <w:u w:val="none"/>
                <w:lang w:val="en-US" w:eastAsia="zh-CN" w:bidi="ar"/>
              </w:rPr>
              <w:t>服务应及时到位，保证服务质量</w:t>
            </w:r>
            <w:r>
              <w:rPr>
                <w:rFonts w:hint="eastAsia" w:ascii="宋体" w:hAnsi="宋体" w:cs="宋体"/>
                <w:i w:val="0"/>
                <w:iCs w:val="0"/>
                <w:color w:val="000000"/>
                <w:kern w:val="0"/>
                <w:sz w:val="20"/>
                <w:szCs w:val="20"/>
                <w:u w:val="none"/>
                <w:lang w:val="en-US" w:eastAsia="zh-CN" w:bidi="ar"/>
              </w:rPr>
              <w:t>，报价人全年需赠送4次应急消杀服务，超出赠送次数另行增加按1000元/次标准收费。</w:t>
            </w:r>
          </w:p>
        </w:tc>
      </w:tr>
    </w:tbl>
    <w:p w14:paraId="2B814591">
      <w:pPr>
        <w:pStyle w:val="14"/>
        <w:ind w:left="0" w:leftChars="0" w:firstLine="0" w:firstLineChars="0"/>
        <w:rPr>
          <w:rFonts w:hint="eastAsia"/>
        </w:rPr>
      </w:pPr>
    </w:p>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中山国际酒店“四害”及“白蚁”消杀治理服务项目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default"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w:t>
      </w:r>
      <w:r>
        <w:rPr>
          <w:rFonts w:hint="eastAsia" w:ascii="宋体" w:hAnsi="Times New Roman"/>
          <w:b w:val="0"/>
          <w:bCs w:val="0"/>
          <w:kern w:val="0"/>
          <w:sz w:val="22"/>
          <w:szCs w:val="22"/>
          <w:u w:val="none"/>
          <w:lang w:val="en-US" w:eastAsia="zh-CN"/>
        </w:rPr>
        <w:t>国际酒店</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中山国际酒店“四害”及“白蚁”消杀治理服务项目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10"/>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10"/>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10"/>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abstractNum w:abstractNumId="9">
    <w:nsid w:val="75E36C35"/>
    <w:multiLevelType w:val="singleLevel"/>
    <w:tmpl w:val="75E36C35"/>
    <w:lvl w:ilvl="0" w:tentative="0">
      <w:start w:val="1"/>
      <w:numFmt w:val="chineseCounting"/>
      <w:suff w:val="nothing"/>
      <w:lvlText w:val="%1、"/>
      <w:lvlJc w:val="left"/>
      <w:rPr>
        <w:rFonts w:hint="eastAsia"/>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273945"/>
    <w:rsid w:val="035C59BA"/>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D200D2"/>
    <w:rsid w:val="08DA77BC"/>
    <w:rsid w:val="091B55B7"/>
    <w:rsid w:val="09667D20"/>
    <w:rsid w:val="09670FEB"/>
    <w:rsid w:val="0A4F22B8"/>
    <w:rsid w:val="0B284DF4"/>
    <w:rsid w:val="0B3C1DD2"/>
    <w:rsid w:val="0BE85250"/>
    <w:rsid w:val="0C0A1AE2"/>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2156905"/>
    <w:rsid w:val="122A1C35"/>
    <w:rsid w:val="123633A3"/>
    <w:rsid w:val="12B95BF5"/>
    <w:rsid w:val="135E1E85"/>
    <w:rsid w:val="138647F8"/>
    <w:rsid w:val="13BD5EA0"/>
    <w:rsid w:val="154F6BFC"/>
    <w:rsid w:val="15C7186C"/>
    <w:rsid w:val="160D0C13"/>
    <w:rsid w:val="161A4883"/>
    <w:rsid w:val="169053D2"/>
    <w:rsid w:val="16986008"/>
    <w:rsid w:val="174E5C03"/>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552CBE"/>
    <w:rsid w:val="22605719"/>
    <w:rsid w:val="22A24F77"/>
    <w:rsid w:val="23181D37"/>
    <w:rsid w:val="238751DA"/>
    <w:rsid w:val="23A10B26"/>
    <w:rsid w:val="244B3CF1"/>
    <w:rsid w:val="24E43DBE"/>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F7E59F4"/>
    <w:rsid w:val="3FB1789D"/>
    <w:rsid w:val="40053050"/>
    <w:rsid w:val="406D2832"/>
    <w:rsid w:val="4088349B"/>
    <w:rsid w:val="409F5294"/>
    <w:rsid w:val="40BE68B1"/>
    <w:rsid w:val="411917A9"/>
    <w:rsid w:val="411B17E9"/>
    <w:rsid w:val="4125092B"/>
    <w:rsid w:val="416634E9"/>
    <w:rsid w:val="417A209D"/>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83E4E"/>
    <w:rsid w:val="4B72085D"/>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3184</Words>
  <Characters>3285</Characters>
  <Lines>17</Lines>
  <Paragraphs>5</Paragraphs>
  <TotalTime>87</TotalTime>
  <ScaleCrop>false</ScaleCrop>
  <LinksUpToDate>false</LinksUpToDate>
  <CharactersWithSpaces>3687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xyy</cp:lastModifiedBy>
  <cp:lastPrinted>2026-03-30T06:59:00Z</cp:lastPrinted>
  <dcterms:modified xsi:type="dcterms:W3CDTF">2026-07-22T02:59:03Z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A34F5BC8D2E64696BC95FD177B0C31CD_13</vt:lpwstr>
  </property>
  <property fmtid="{D5CDD505-2E9C-101B-9397-08002B2CF9AE}" pid="4" name="KSOTemplateDocerSaveRecord">
    <vt:lpwstr>eyJoZGlkIjoiZWE4OGQxZGZjNDc1ZjlmODVhNjhhZmQzZGI4M2E3NjYiLCJ1c2VySWQiOiIzOTIyODU1NDQifQ==</vt:lpwstr>
  </property>
</Properties>
</file>