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06E2F8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kern w:val="28"/>
          <w:sz w:val="24"/>
          <w:szCs w:val="24"/>
          <w:u w:val="single"/>
          <w:lang w:val="en-US" w:eastAsia="zh-CN"/>
        </w:rPr>
      </w:pPr>
    </w:p>
    <w:p w14:paraId="1E98C9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kern w:val="28"/>
          <w:sz w:val="22"/>
          <w:szCs w:val="22"/>
        </w:rPr>
      </w:pPr>
      <w:r>
        <w:rPr>
          <w:rFonts w:hint="eastAsia" w:ascii="宋体" w:hAnsi="宋体" w:eastAsia="宋体" w:cs="宋体"/>
          <w:b/>
          <w:color w:val="auto"/>
          <w:kern w:val="28"/>
          <w:sz w:val="24"/>
          <w:szCs w:val="24"/>
          <w:u w:val="single"/>
          <w:lang w:val="en-US" w:eastAsia="zh-CN"/>
        </w:rPr>
        <w:t xml:space="preserve"> </w:t>
      </w:r>
      <w:r>
        <w:rPr>
          <w:rFonts w:hint="eastAsia" w:ascii="宋体" w:hAnsi="宋体" w:cs="宋体"/>
          <w:b/>
          <w:color w:val="auto"/>
          <w:kern w:val="28"/>
          <w:sz w:val="24"/>
          <w:szCs w:val="24"/>
          <w:u w:val="single"/>
          <w:lang w:val="en-US" w:eastAsia="zh-CN"/>
        </w:rPr>
        <w:t>各潜在供应商</w:t>
      </w:r>
      <w:r>
        <w:rPr>
          <w:rFonts w:hint="eastAsia" w:ascii="宋体" w:hAnsi="宋体" w:eastAsia="宋体" w:cs="宋体"/>
          <w:b/>
          <w:color w:val="auto"/>
          <w:kern w:val="28"/>
          <w:sz w:val="24"/>
          <w:szCs w:val="24"/>
          <w:u w:val="single"/>
          <w:lang w:val="en-US" w:eastAsia="zh-CN"/>
        </w:rPr>
        <w:t xml:space="preserve"> </w:t>
      </w:r>
      <w:r>
        <w:rPr>
          <w:rFonts w:hint="eastAsia" w:ascii="宋体" w:hAnsi="宋体" w:eastAsia="宋体" w:cs="宋体"/>
          <w:b/>
          <w:color w:val="auto"/>
          <w:kern w:val="28"/>
          <w:sz w:val="24"/>
          <w:szCs w:val="24"/>
        </w:rPr>
        <w:t>:</w:t>
      </w:r>
    </w:p>
    <w:p w14:paraId="78D76902">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中山国际酒店员工宿舍电梯采购项目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w:t>
      </w:r>
      <w:r>
        <w:rPr>
          <w:rFonts w:hint="eastAsia" w:ascii="宋体" w:hAnsi="宋体" w:cs="宋体"/>
          <w:b/>
          <w:bCs/>
          <w:color w:val="auto"/>
          <w:sz w:val="22"/>
          <w:szCs w:val="22"/>
          <w:u w:val="none"/>
          <w:lang w:val="en-US" w:eastAsia="zh-CN"/>
        </w:rPr>
        <w:t>中山国际酒店员工宿舍电梯采购项目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项目上限价：￥133570.68元（超出上限价无效）。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highlight w:val="none"/>
          <w:lang w:val="en-US" w:eastAsia="zh-CN"/>
        </w:rPr>
      </w:pPr>
      <w:r>
        <w:rPr>
          <w:rFonts w:hint="eastAsia" w:ascii="宋体" w:hAnsi="宋体" w:cs="宋体"/>
          <w:b w:val="0"/>
          <w:bCs w:val="0"/>
          <w:color w:val="auto"/>
          <w:sz w:val="22"/>
          <w:szCs w:val="22"/>
          <w:lang w:val="en-US" w:eastAsia="zh-CN"/>
        </w:rPr>
        <w:t>现有</w:t>
      </w:r>
      <w:r>
        <w:rPr>
          <w:rFonts w:hint="eastAsia" w:ascii="宋体" w:hAnsi="宋体" w:cs="宋体"/>
          <w:b w:val="0"/>
          <w:bCs w:val="0"/>
          <w:color w:val="auto"/>
          <w:sz w:val="22"/>
          <w:szCs w:val="22"/>
          <w:u w:val="none"/>
          <w:lang w:val="en-US" w:eastAsia="zh-CN"/>
        </w:rPr>
        <w:t>中山国际酒店员工宿舍电梯采购项目的采购需求</w:t>
      </w:r>
      <w:r>
        <w:rPr>
          <w:rFonts w:hint="eastAsia" w:ascii="宋体" w:hAnsi="宋体" w:cs="宋体"/>
          <w:color w:val="auto"/>
          <w:sz w:val="22"/>
          <w:szCs w:val="22"/>
          <w:highlight w:val="none"/>
          <w:lang w:val="en-US" w:eastAsia="zh-CN"/>
        </w:rPr>
        <w:t>。</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8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 21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8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23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邮箱：xiongyuyan@zsih.com.cn或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w:t>
      </w:r>
      <w:r>
        <w:rPr>
          <w:rFonts w:hint="eastAsia" w:ascii="宋体" w:hAnsi="宋体" w:eastAsia="宋体" w:cs="宋体"/>
          <w:b/>
          <w:bCs/>
          <w:sz w:val="22"/>
          <w:szCs w:val="22"/>
        </w:rPr>
        <w:t>包括但不仅限于</w:t>
      </w:r>
      <w:r>
        <w:rPr>
          <w:rFonts w:hint="eastAsia" w:ascii="宋体" w:hAnsi="宋体" w:cs="宋体"/>
          <w:b/>
          <w:bCs/>
          <w:sz w:val="22"/>
          <w:szCs w:val="22"/>
          <w:lang w:eastAsia="zh-CN"/>
        </w:rPr>
        <w:t>）</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1C9D2DF4">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20" w:leftChars="0" w:firstLine="440" w:firstLineChars="0"/>
        <w:textAlignment w:val="auto"/>
        <w:rPr>
          <w:rFonts w:hint="eastAsia" w:ascii="宋体" w:hAnsi="宋体" w:eastAsia="宋体" w:cs="宋体"/>
          <w:bCs/>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shd w:val="clear" w:color="auto" w:fill="FFFFFF"/>
        </w:rPr>
        <w:t>③</w:t>
      </w:r>
      <w:r>
        <w:rPr>
          <w:rFonts w:hint="eastAsia" w:ascii="宋体" w:hAnsi="宋体" w:eastAsia="宋体" w:cs="宋体"/>
          <w:color w:val="auto"/>
          <w:sz w:val="22"/>
          <w:szCs w:val="22"/>
          <w:lang w:eastAsia="zh-CN"/>
        </w:rPr>
        <w:t>售后服务方案及突发事件应急预案</w:t>
      </w:r>
      <w:r>
        <w:rPr>
          <w:rFonts w:hint="eastAsia" w:ascii="宋体" w:hAnsi="宋体" w:eastAsia="宋体" w:cs="宋体"/>
          <w:color w:val="auto"/>
          <w:sz w:val="22"/>
          <w:szCs w:val="22"/>
        </w:rPr>
        <w:t>、安全文明施工方案、</w:t>
      </w:r>
      <w:r>
        <w:rPr>
          <w:rFonts w:hint="eastAsia" w:ascii="宋体" w:hAnsi="宋体" w:eastAsia="宋体" w:cs="宋体"/>
          <w:color w:val="auto"/>
          <w:sz w:val="22"/>
          <w:szCs w:val="22"/>
          <w:lang w:val="en-US" w:eastAsia="zh-CN"/>
        </w:rPr>
        <w:t>工程质量控制方案</w:t>
      </w:r>
      <w:r>
        <w:rPr>
          <w:rFonts w:hint="eastAsia" w:ascii="宋体" w:hAnsi="宋体" w:eastAsia="宋体" w:cs="宋体"/>
          <w:color w:val="auto"/>
          <w:sz w:val="22"/>
          <w:szCs w:val="22"/>
        </w:rPr>
        <w:t>、同类项目业绩、体系认证</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拟投入项目团队人员</w:t>
      </w:r>
      <w:r>
        <w:rPr>
          <w:rFonts w:hint="eastAsia" w:ascii="var(--dsw-font-markdown-table)" w:hAnsi="var(--dsw-font-markdown-table)" w:eastAsia="var(--dsw-font-markdown-table)" w:cs="var(--dsw-font-markdown-table)"/>
          <w:kern w:val="0"/>
          <w:sz w:val="24"/>
          <w:szCs w:val="24"/>
          <w:lang w:val="en-US" w:eastAsia="zh-CN" w:bidi="ar"/>
        </w:rPr>
        <w:t>等</w:t>
      </w:r>
      <w:r>
        <w:rPr>
          <w:rFonts w:hint="eastAsia" w:ascii="宋体" w:hAnsi="宋体" w:eastAsia="宋体" w:cs="宋体"/>
          <w:bCs/>
          <w:color w:val="auto"/>
          <w:sz w:val="22"/>
          <w:szCs w:val="22"/>
          <w:shd w:val="clear" w:color="auto" w:fill="FFFFFF"/>
          <w:lang w:val="en-US" w:eastAsia="zh-CN"/>
        </w:rPr>
        <w:t>（详见附件</w:t>
      </w:r>
      <w:r>
        <w:rPr>
          <w:rFonts w:hint="eastAsia" w:ascii="宋体" w:hAnsi="宋体" w:cs="宋体"/>
          <w:bCs/>
          <w:color w:val="auto"/>
          <w:sz w:val="22"/>
          <w:szCs w:val="22"/>
          <w:shd w:val="clear" w:color="auto" w:fill="FFFFFF"/>
          <w:lang w:val="en-US" w:eastAsia="zh-CN"/>
        </w:rPr>
        <w:t>3</w:t>
      </w:r>
      <w:r>
        <w:rPr>
          <w:rFonts w:hint="eastAsia" w:ascii="宋体" w:hAnsi="宋体" w:eastAsia="宋体" w:cs="宋体"/>
          <w:bCs/>
          <w:color w:val="auto"/>
          <w:sz w:val="22"/>
          <w:szCs w:val="22"/>
          <w:shd w:val="clear" w:color="auto" w:fill="FFFFFF"/>
          <w:lang w:val="en-US" w:eastAsia="zh-CN"/>
        </w:rPr>
        <w:t>：商务技术评分表</w:t>
      </w:r>
      <w:r>
        <w:rPr>
          <w:rFonts w:hint="eastAsia" w:ascii="宋体" w:hAnsi="宋体" w:cs="宋体"/>
          <w:bCs/>
          <w:color w:val="auto"/>
          <w:sz w:val="22"/>
          <w:szCs w:val="22"/>
          <w:shd w:val="clear" w:color="auto" w:fill="FFFFFF"/>
          <w:lang w:val="en-US" w:eastAsia="zh-CN"/>
        </w:rPr>
        <w:t>细则</w:t>
      </w:r>
      <w:r>
        <w:rPr>
          <w:rFonts w:hint="eastAsia" w:ascii="宋体" w:hAnsi="宋体" w:eastAsia="宋体" w:cs="宋体"/>
          <w:bCs/>
          <w:color w:val="auto"/>
          <w:sz w:val="22"/>
          <w:szCs w:val="22"/>
          <w:shd w:val="clear" w:color="auto" w:fill="FFFFFF"/>
          <w:lang w:val="en-US" w:eastAsia="zh-CN"/>
        </w:rPr>
        <w:t>）</w:t>
      </w:r>
      <w:r>
        <w:rPr>
          <w:rFonts w:hint="eastAsia" w:ascii="宋体" w:hAnsi="宋体" w:cs="宋体"/>
          <w:bCs/>
          <w:color w:val="auto"/>
          <w:sz w:val="22"/>
          <w:szCs w:val="22"/>
          <w:shd w:val="clear" w:color="auto" w:fill="FFFFFF"/>
          <w:lang w:val="en-US" w:eastAsia="zh-CN"/>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2E6CFB9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cs="宋体"/>
          <w:b w:val="0"/>
          <w:bCs w:val="0"/>
          <w:color w:val="auto"/>
          <w:kern w:val="0"/>
          <w:sz w:val="22"/>
          <w:szCs w:val="22"/>
          <w:u w:val="none"/>
          <w:lang w:val="en-US" w:eastAsia="zh-CN"/>
        </w:rPr>
      </w:pPr>
      <w:r>
        <w:rPr>
          <w:rFonts w:hint="eastAsia" w:ascii="宋体" w:hAnsi="宋体" w:cs="宋体"/>
          <w:b w:val="0"/>
          <w:bCs w:val="0"/>
          <w:color w:val="auto"/>
          <w:kern w:val="0"/>
          <w:sz w:val="22"/>
          <w:szCs w:val="22"/>
          <w:u w:val="none"/>
          <w:lang w:val="en-US" w:eastAsia="zh-CN"/>
        </w:rPr>
        <w:t>超出上限价。</w:t>
      </w:r>
    </w:p>
    <w:p w14:paraId="1849285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200"/>
        <w:textAlignment w:val="auto"/>
        <w:rPr>
          <w:rFonts w:hint="eastAsia" w:ascii="宋体" w:hAnsi="宋体" w:cs="宋体"/>
          <w:b w:val="0"/>
          <w:bCs w:val="0"/>
          <w:color w:val="auto"/>
          <w:kern w:val="0"/>
          <w:sz w:val="22"/>
          <w:szCs w:val="22"/>
          <w:u w:val="none"/>
          <w:lang w:val="en-US" w:eastAsia="zh-CN"/>
        </w:rPr>
      </w:pPr>
    </w:p>
    <w:p w14:paraId="0FDDD5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lang w:val="en-US" w:eastAsia="zh-CN"/>
        </w:rPr>
      </w:pPr>
      <w:r>
        <w:rPr>
          <w:rFonts w:hint="eastAsia" w:ascii="宋体" w:hAnsi="宋体" w:cs="宋体"/>
          <w:b/>
          <w:sz w:val="22"/>
          <w:szCs w:val="22"/>
        </w:rPr>
        <w:t>评选方法</w:t>
      </w:r>
    </w:p>
    <w:p w14:paraId="0EDB0B0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0" w:firstLineChars="0"/>
        <w:textAlignment w:val="auto"/>
        <w:rPr>
          <w:rFonts w:hint="eastAsia" w:eastAsia="宋体" w:cs="Times New Roman"/>
          <w:b w:val="0"/>
          <w:bCs/>
          <w:lang w:val="en-US" w:eastAsia="zh-CN"/>
        </w:rPr>
      </w:pPr>
      <w:r>
        <w:rPr>
          <w:rFonts w:hint="eastAsia" w:eastAsia="宋体" w:cs="Times New Roman"/>
          <w:b w:val="0"/>
          <w:bCs/>
          <w:lang w:val="en-US" w:eastAsia="zh-CN"/>
        </w:rPr>
        <w:t>权重分配：</w:t>
      </w:r>
    </w:p>
    <w:tbl>
      <w:tblPr>
        <w:tblStyle w:val="67"/>
        <w:tblW w:w="4964" w:type="dxa"/>
        <w:tblInd w:w="4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5"/>
        <w:gridCol w:w="1667"/>
        <w:gridCol w:w="1482"/>
      </w:tblGrid>
      <w:tr w14:paraId="70CB0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815" w:type="dxa"/>
            <w:shd w:val="clear" w:color="auto" w:fill="ABADAC"/>
            <w:vAlign w:val="top"/>
          </w:tcPr>
          <w:p w14:paraId="0DB0C0F3">
            <w:pPr>
              <w:pStyle w:val="14"/>
              <w:numPr>
                <w:ilvl w:val="0"/>
                <w:numId w:val="0"/>
              </w:numPr>
              <w:jc w:val="center"/>
              <w:rPr>
                <w:rFonts w:hint="eastAsia"/>
                <w:lang w:val="en-US" w:eastAsia="zh-CN"/>
              </w:rPr>
            </w:pPr>
            <w:r>
              <w:rPr>
                <w:rFonts w:hint="eastAsia"/>
                <w:lang w:val="en-US" w:eastAsia="zh-CN"/>
              </w:rPr>
              <w:t>评分项目</w:t>
            </w:r>
          </w:p>
        </w:tc>
        <w:tc>
          <w:tcPr>
            <w:tcW w:w="1667" w:type="dxa"/>
            <w:shd w:val="clear" w:color="auto" w:fill="A3A5A4"/>
            <w:vAlign w:val="top"/>
          </w:tcPr>
          <w:p w14:paraId="1A932A87">
            <w:pPr>
              <w:pStyle w:val="14"/>
              <w:numPr>
                <w:ilvl w:val="0"/>
                <w:numId w:val="0"/>
              </w:numPr>
              <w:jc w:val="center"/>
              <w:rPr>
                <w:rFonts w:hint="eastAsia"/>
                <w:lang w:val="en-US" w:eastAsia="zh-CN"/>
              </w:rPr>
            </w:pPr>
            <w:r>
              <w:rPr>
                <w:rFonts w:hint="eastAsia"/>
                <w:lang w:val="en-US" w:eastAsia="zh-CN"/>
              </w:rPr>
              <w:t>价格评分</w:t>
            </w:r>
          </w:p>
        </w:tc>
        <w:tc>
          <w:tcPr>
            <w:tcW w:w="1482" w:type="dxa"/>
            <w:shd w:val="clear" w:color="auto" w:fill="A7A9A8"/>
            <w:vAlign w:val="top"/>
          </w:tcPr>
          <w:p w14:paraId="49707F19">
            <w:pPr>
              <w:pStyle w:val="14"/>
              <w:numPr>
                <w:ilvl w:val="0"/>
                <w:numId w:val="0"/>
              </w:numPr>
              <w:jc w:val="center"/>
              <w:rPr>
                <w:rFonts w:hint="eastAsia"/>
                <w:lang w:val="en-US" w:eastAsia="zh-CN"/>
              </w:rPr>
            </w:pPr>
            <w:r>
              <w:rPr>
                <w:rFonts w:hint="eastAsia"/>
                <w:lang w:val="en-US" w:eastAsia="zh-CN"/>
              </w:rPr>
              <w:t>商务技术评分</w:t>
            </w:r>
          </w:p>
        </w:tc>
      </w:tr>
      <w:tr w14:paraId="1723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815" w:type="dxa"/>
            <w:vAlign w:val="top"/>
          </w:tcPr>
          <w:p w14:paraId="09B4AF2C">
            <w:pPr>
              <w:pStyle w:val="14"/>
              <w:numPr>
                <w:ilvl w:val="0"/>
                <w:numId w:val="0"/>
              </w:numPr>
              <w:jc w:val="center"/>
              <w:rPr>
                <w:rFonts w:hint="eastAsia"/>
                <w:lang w:val="en-US" w:eastAsia="zh-CN"/>
              </w:rPr>
            </w:pPr>
            <w:r>
              <w:rPr>
                <w:rFonts w:hint="eastAsia"/>
                <w:lang w:val="en-US" w:eastAsia="zh-CN"/>
              </w:rPr>
              <w:t>权重</w:t>
            </w:r>
          </w:p>
        </w:tc>
        <w:tc>
          <w:tcPr>
            <w:tcW w:w="1667" w:type="dxa"/>
            <w:vAlign w:val="top"/>
          </w:tcPr>
          <w:p w14:paraId="6A87AF98">
            <w:pPr>
              <w:pStyle w:val="14"/>
              <w:numPr>
                <w:ilvl w:val="0"/>
                <w:numId w:val="0"/>
              </w:numPr>
              <w:jc w:val="center"/>
              <w:rPr>
                <w:rFonts w:hint="eastAsia"/>
                <w:lang w:val="en-US" w:eastAsia="zh-CN"/>
              </w:rPr>
            </w:pPr>
            <w:r>
              <w:rPr>
                <w:rFonts w:hint="eastAsia"/>
                <w:lang w:val="en-US" w:eastAsia="zh-CN"/>
              </w:rPr>
              <w:t>60%</w:t>
            </w:r>
          </w:p>
        </w:tc>
        <w:tc>
          <w:tcPr>
            <w:tcW w:w="1482" w:type="dxa"/>
            <w:vAlign w:val="top"/>
          </w:tcPr>
          <w:p w14:paraId="50C66474">
            <w:pPr>
              <w:pStyle w:val="14"/>
              <w:numPr>
                <w:ilvl w:val="0"/>
                <w:numId w:val="0"/>
              </w:numPr>
              <w:jc w:val="center"/>
              <w:rPr>
                <w:rFonts w:hint="eastAsia"/>
                <w:lang w:val="en-US" w:eastAsia="zh-CN"/>
              </w:rPr>
            </w:pPr>
            <w:r>
              <w:rPr>
                <w:rFonts w:hint="eastAsia"/>
                <w:lang w:val="en-US" w:eastAsia="zh-CN"/>
              </w:rPr>
              <w:t>40%</w:t>
            </w:r>
          </w:p>
        </w:tc>
      </w:tr>
    </w:tbl>
    <w:p w14:paraId="12F90CD6">
      <w:pPr>
        <w:pStyle w:val="14"/>
        <w:numPr>
          <w:ilvl w:val="0"/>
          <w:numId w:val="0"/>
        </w:numPr>
        <w:ind w:firstLine="420" w:firstLineChars="200"/>
        <w:rPr>
          <w:rFonts w:hint="eastAsia"/>
          <w:lang w:val="en-US" w:eastAsia="zh-CN"/>
        </w:rPr>
      </w:pPr>
    </w:p>
    <w:p w14:paraId="1FF6E264">
      <w:pPr>
        <w:pStyle w:val="14"/>
        <w:numPr>
          <w:ilvl w:val="0"/>
          <w:numId w:val="5"/>
        </w:numPr>
        <w:ind w:left="0" w:leftChars="0" w:firstLine="400" w:firstLineChars="0"/>
        <w:rPr>
          <w:rFonts w:hint="eastAsia"/>
          <w:b w:val="0"/>
          <w:bCs/>
          <w:lang w:val="en-US" w:eastAsia="zh-CN"/>
        </w:rPr>
      </w:pPr>
      <w:r>
        <w:rPr>
          <w:rFonts w:hint="eastAsia"/>
          <w:b w:val="0"/>
          <w:bCs/>
          <w:lang w:val="en-US" w:eastAsia="zh-CN"/>
        </w:rPr>
        <w:t>价格评分</w:t>
      </w:r>
    </w:p>
    <w:p w14:paraId="5F8D8C2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报价：以报价单汇总大写金额为准，如汇总大写金额与询价邀请函中其他内容不一致(除注明优惠价外),报价人应以汇总大写金额为准更正。如果报价人不接受对其错误的更正，其报价将被视为无效报价或确定为报价无效。</w:t>
      </w:r>
    </w:p>
    <w:p w14:paraId="128E750D">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评选价：以报价单汇总大写金额的净价为准。【计算公式：含税总价/(1+增值税专用发票税 率)】,即可提供增值税专用发票的报价，为不含税价；提供普通发票的报价，为含税价。</w:t>
      </w:r>
    </w:p>
    <w:p w14:paraId="714A8B24">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价格评分：满足询比文件要求且评选价格最低者作为评选基准价，其价格分为满分。其他报价人的价格分统一按照以下公式计算【价格得分（精确到小数点后2位）=（评选基准价/评选价格×100）。</w:t>
      </w:r>
    </w:p>
    <w:p w14:paraId="50E20DD4">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eastAsia="宋体" w:cs="宋体"/>
          <w:b w:val="0"/>
          <w:bCs/>
          <w:color w:val="auto"/>
          <w:sz w:val="22"/>
          <w:szCs w:val="22"/>
          <w:lang w:val="en-US" w:eastAsia="zh-CN"/>
        </w:rPr>
      </w:pPr>
      <w:r>
        <w:rPr>
          <w:rFonts w:hint="eastAsia"/>
          <w:b w:val="0"/>
          <w:bCs/>
          <w:lang w:val="en-US" w:eastAsia="zh-CN"/>
        </w:rPr>
        <w:t>商务技术评分</w:t>
      </w:r>
    </w:p>
    <w:p w14:paraId="7149FA2E">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组织参会人员现场对商务技术评分进行综合评定</w:t>
      </w:r>
      <w:r>
        <w:rPr>
          <w:rFonts w:hint="eastAsia" w:ascii="宋体" w:hAnsi="宋体" w:cs="宋体"/>
          <w:bCs/>
          <w:color w:val="auto"/>
          <w:sz w:val="22"/>
          <w:szCs w:val="22"/>
          <w:lang w:val="en-US" w:eastAsia="zh-CN"/>
        </w:rPr>
        <w:t>。</w:t>
      </w:r>
      <w:bookmarkStart w:id="0" w:name="_GoBack"/>
      <w:bookmarkEnd w:id="0"/>
    </w:p>
    <w:p w14:paraId="522F298E">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商务技术评分排名分别为：售后服务方案及突发事件应急预案、安全文明施工方案、</w:t>
      </w:r>
      <w:r>
        <w:rPr>
          <w:rFonts w:hint="eastAsia" w:ascii="宋体" w:hAnsi="宋体" w:cs="宋体"/>
          <w:i w:val="0"/>
          <w:iCs w:val="0"/>
          <w:color w:val="000000"/>
          <w:kern w:val="0"/>
          <w:sz w:val="22"/>
          <w:szCs w:val="22"/>
          <w:u w:val="none"/>
          <w:lang w:val="en-US" w:eastAsia="zh-CN" w:bidi="ar"/>
        </w:rPr>
        <w:t>工程质量控制方案</w:t>
      </w:r>
      <w:r>
        <w:rPr>
          <w:rFonts w:hint="eastAsia" w:ascii="宋体" w:hAnsi="宋体" w:eastAsia="宋体" w:cs="宋体"/>
          <w:bCs/>
          <w:color w:val="auto"/>
          <w:sz w:val="22"/>
          <w:szCs w:val="22"/>
          <w:lang w:val="en-US" w:eastAsia="zh-CN"/>
        </w:rPr>
        <w:t>、同类项目业绩、体系认证</w:t>
      </w:r>
      <w:r>
        <w:rPr>
          <w:rFonts w:hint="eastAsia" w:ascii="宋体" w:hAnsi="宋体" w:cs="宋体"/>
          <w:bCs/>
          <w:color w:val="auto"/>
          <w:sz w:val="22"/>
          <w:szCs w:val="22"/>
          <w:lang w:val="en-US" w:eastAsia="zh-CN"/>
        </w:rPr>
        <w:t>、</w:t>
      </w:r>
      <w:r>
        <w:rPr>
          <w:rFonts w:hint="eastAsia" w:ascii="宋体" w:hAnsi="宋体" w:eastAsia="宋体" w:cs="宋体"/>
          <w:bCs/>
          <w:color w:val="auto"/>
          <w:sz w:val="22"/>
          <w:szCs w:val="22"/>
          <w:lang w:val="en-US" w:eastAsia="zh-CN"/>
        </w:rPr>
        <w:t>拟投入项目团队人员等得分相加为供应商商务技术评分评审、复核后取算术平均分（保留</w:t>
      </w:r>
      <w:r>
        <w:rPr>
          <w:rFonts w:hint="eastAsia" w:ascii="宋体" w:hAnsi="宋体" w:cs="宋体"/>
          <w:bCs/>
          <w:color w:val="auto"/>
          <w:sz w:val="22"/>
          <w:szCs w:val="22"/>
          <w:lang w:val="en-US" w:eastAsia="zh-CN"/>
        </w:rPr>
        <w:t>2</w:t>
      </w:r>
      <w:r>
        <w:rPr>
          <w:rFonts w:hint="eastAsia" w:ascii="宋体" w:hAnsi="宋体" w:eastAsia="宋体" w:cs="宋体"/>
          <w:bCs/>
          <w:color w:val="auto"/>
          <w:sz w:val="22"/>
          <w:szCs w:val="22"/>
          <w:lang w:val="en-US" w:eastAsia="zh-CN"/>
        </w:rPr>
        <w:t>位小数）为最终方案得分。</w:t>
      </w:r>
    </w:p>
    <w:p w14:paraId="1C358605">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00" w:firstLineChars="0"/>
        <w:textAlignment w:val="auto"/>
      </w:pPr>
      <w:r>
        <w:rPr>
          <w:rFonts w:hint="eastAsia" w:ascii="宋体" w:hAnsi="宋体" w:eastAsia="宋体" w:cs="宋体"/>
          <w:b w:val="0"/>
          <w:bCs/>
          <w:color w:val="auto"/>
          <w:sz w:val="22"/>
          <w:szCs w:val="22"/>
          <w:lang w:val="en-US" w:eastAsia="zh-CN"/>
        </w:rPr>
        <w:t>本次评选采用综合评分法，即汇总的各供应商的价格评分和技术方案评分分别乘以规定的权重并相加得出其综合得分，选取最高得分供应商为本次成交供应商。</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综合得分次高的供应商为成交供应商，或者重新邀请及采取其他采购方式。我司对受影响的供应商不承担任何责任。</w:t>
      </w:r>
    </w:p>
    <w:p w14:paraId="7831E72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b w:val="0"/>
          <w:bCs/>
          <w:color w:val="auto"/>
          <w:sz w:val="22"/>
          <w:szCs w:val="22"/>
          <w:lang w:val="en-US" w:eastAsia="zh-CN"/>
        </w:rPr>
      </w:pPr>
    </w:p>
    <w:p w14:paraId="0D4F2C4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cs="宋体"/>
          <w:b w:val="0"/>
          <w:bCs/>
          <w:color w:val="auto"/>
          <w:sz w:val="22"/>
          <w:szCs w:val="22"/>
          <w:lang w:val="en-US" w:eastAsia="zh-CN"/>
        </w:rPr>
      </w:pP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9"/>
        </w:numPr>
        <w:tabs>
          <w:tab w:val="left" w:pos="420"/>
        </w:tabs>
        <w:kinsoku/>
        <w:wordWrap/>
        <w:overflowPunct/>
        <w:topLinePunct w:val="0"/>
        <w:autoSpaceDE/>
        <w:autoSpaceDN/>
        <w:bidi w:val="0"/>
        <w:adjustRightInd/>
        <w:snapToGrid/>
        <w:spacing w:line="360" w:lineRule="auto"/>
        <w:ind w:left="190" w:leftChars="0" w:firstLine="440" w:firstLineChars="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8</w:t>
      </w:r>
      <w:r>
        <w:rPr>
          <w:rFonts w:hint="eastAsia" w:ascii="宋体" w:hAnsi="宋体" w:eastAsia="宋体" w:cs="宋体"/>
          <w:sz w:val="22"/>
          <w:szCs w:val="22"/>
        </w:rPr>
        <w:t>月</w:t>
      </w:r>
      <w:r>
        <w:rPr>
          <w:rFonts w:hint="eastAsia" w:ascii="宋体" w:hAnsi="宋体" w:cs="宋体"/>
          <w:sz w:val="22"/>
          <w:szCs w:val="22"/>
          <w:lang w:val="en-US" w:eastAsia="zh-CN"/>
        </w:rPr>
        <w:t xml:space="preserve"> 25 </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9"/>
        </w:numPr>
        <w:tabs>
          <w:tab w:val="left" w:pos="420"/>
        </w:tabs>
        <w:kinsoku/>
        <w:wordWrap/>
        <w:overflowPunct/>
        <w:topLinePunct w:val="0"/>
        <w:autoSpaceDE/>
        <w:autoSpaceDN/>
        <w:bidi w:val="0"/>
        <w:adjustRightInd/>
        <w:snapToGrid/>
        <w:spacing w:line="360" w:lineRule="auto"/>
        <w:ind w:left="190" w:leftChars="0" w:firstLine="440" w:firstLineChars="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5079889D">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default" w:eastAsia="宋体"/>
          <w:lang w:val="en-US" w:eastAsia="zh-CN"/>
        </w:rPr>
      </w:pPr>
      <w:r>
        <w:rPr>
          <w:rFonts w:hint="eastAsia" w:ascii="宋体" w:hAnsi="宋体" w:eastAsia="宋体" w:cs="宋体"/>
          <w:bCs/>
          <w:sz w:val="22"/>
          <w:szCs w:val="22"/>
        </w:rPr>
        <w:t>报价单（样本）；</w:t>
      </w:r>
    </w:p>
    <w:p w14:paraId="48559444">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cs="宋体"/>
          <w:bCs/>
          <w:sz w:val="22"/>
          <w:szCs w:val="22"/>
          <w:lang w:val="en-US" w:eastAsia="zh-CN"/>
        </w:rPr>
        <w:t>商务技术评分表细则中的佐证材料；</w:t>
      </w:r>
    </w:p>
    <w:p w14:paraId="00157A57">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10"/>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8</w:t>
      </w:r>
      <w:r>
        <w:rPr>
          <w:rFonts w:hint="eastAsia" w:ascii="宋体" w:hAnsi="宋体" w:eastAsia="宋体" w:cs="宋体"/>
          <w:sz w:val="22"/>
          <w:szCs w:val="22"/>
        </w:rPr>
        <w:t>月</w:t>
      </w:r>
      <w:r>
        <w:rPr>
          <w:rFonts w:hint="eastAsia" w:ascii="宋体" w:hAnsi="宋体" w:cs="宋体"/>
          <w:sz w:val="22"/>
          <w:szCs w:val="22"/>
          <w:lang w:val="en-US" w:eastAsia="zh-CN"/>
        </w:rPr>
        <w:t>21</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930" w:right="1083" w:bottom="1270" w:left="1083"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7"/>
          <w:rFonts w:hint="default"/>
          <w:b/>
          <w:color w:val="auto"/>
          <w:sz w:val="22"/>
          <w:szCs w:val="22"/>
          <w:highlight w:val="none"/>
        </w:rPr>
      </w:pPr>
      <w:r>
        <w:rPr>
          <w:rStyle w:val="57"/>
          <w:rFonts w:hint="eastAsia"/>
          <w:b/>
          <w:color w:val="auto"/>
          <w:sz w:val="22"/>
          <w:szCs w:val="22"/>
          <w:highlight w:val="none"/>
          <w:lang w:val="en-US" w:eastAsia="zh-CN"/>
        </w:rPr>
        <w:t>响应</w:t>
      </w:r>
      <w:r>
        <w:rPr>
          <w:rStyle w:val="57"/>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8"/>
        <w:jc w:val="left"/>
        <w:rPr>
          <w:rFonts w:hint="eastAsia" w:ascii="宋体" w:hAnsi="宋体" w:eastAsia="宋体" w:cs="宋体"/>
          <w:b/>
          <w:sz w:val="48"/>
          <w:szCs w:val="48"/>
          <w:highlight w:val="none"/>
        </w:rPr>
      </w:pPr>
    </w:p>
    <w:p w14:paraId="32C4300F">
      <w:pPr>
        <w:pStyle w:val="8"/>
        <w:jc w:val="left"/>
        <w:rPr>
          <w:rFonts w:hint="eastAsia" w:ascii="宋体" w:hAnsi="宋体" w:eastAsia="宋体" w:cs="宋体"/>
          <w:b/>
          <w:sz w:val="48"/>
          <w:szCs w:val="48"/>
          <w:highlight w:val="none"/>
        </w:rPr>
      </w:pPr>
    </w:p>
    <w:p w14:paraId="1ED81F7D">
      <w:pPr>
        <w:pStyle w:val="8"/>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8"/>
        <w:jc w:val="left"/>
        <w:rPr>
          <w:rFonts w:hint="eastAsia" w:ascii="Times New Roman" w:hAnsi="Times New Roman"/>
          <w:b/>
          <w:sz w:val="48"/>
          <w:szCs w:val="48"/>
          <w:highlight w:val="none"/>
        </w:rPr>
      </w:pPr>
    </w:p>
    <w:p w14:paraId="25B4BD92">
      <w:pPr>
        <w:pStyle w:val="8"/>
        <w:jc w:val="left"/>
        <w:rPr>
          <w:rFonts w:hint="eastAsia" w:ascii="Times New Roman" w:hAnsi="Times New Roman"/>
          <w:b/>
          <w:sz w:val="48"/>
          <w:szCs w:val="48"/>
          <w:highlight w:val="none"/>
        </w:rPr>
      </w:pPr>
    </w:p>
    <w:p w14:paraId="1702A6EA">
      <w:pPr>
        <w:pStyle w:val="8"/>
        <w:jc w:val="left"/>
        <w:rPr>
          <w:rFonts w:hint="eastAsia" w:ascii="Times New Roman" w:hAnsi="Times New Roman"/>
          <w:b/>
          <w:sz w:val="48"/>
          <w:szCs w:val="48"/>
          <w:highlight w:val="none"/>
        </w:rPr>
      </w:pPr>
    </w:p>
    <w:p w14:paraId="68E7FE68">
      <w:pPr>
        <w:pStyle w:val="8"/>
        <w:jc w:val="left"/>
        <w:rPr>
          <w:rFonts w:hint="eastAsia" w:ascii="Times New Roman" w:hAnsi="Times New Roman"/>
          <w:b/>
          <w:sz w:val="48"/>
          <w:szCs w:val="48"/>
          <w:highlight w:val="none"/>
        </w:rPr>
      </w:pPr>
    </w:p>
    <w:p w14:paraId="7D3CB5E0">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项目名称：</w:t>
      </w:r>
      <w:r>
        <w:rPr>
          <w:rFonts w:hint="eastAsia" w:hAnsi="宋体" w:cs="宋体"/>
          <w:b/>
          <w:sz w:val="24"/>
          <w:szCs w:val="24"/>
          <w:highlight w:val="none"/>
          <w:u w:val="single"/>
          <w:lang w:eastAsia="zh-CN"/>
        </w:rPr>
        <w:t>中山国际酒店员工宿舍电梯采购项目</w:t>
      </w:r>
    </w:p>
    <w:p w14:paraId="1146C0FD">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8"/>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eastAsia="zh-CN"/>
        </w:rPr>
        <w:t>中山国际酒店员工宿舍电梯采购项目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中山国际酒店员工宿舍电梯采购项目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4266130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w:t>
      </w:r>
    </w:p>
    <w:p w14:paraId="6A02FF67">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b/>
          <w:bCs/>
          <w:sz w:val="22"/>
          <w:szCs w:val="22"/>
          <w:lang w:val="en-US" w:eastAsia="zh-CN"/>
        </w:rPr>
      </w:pPr>
      <w:r>
        <w:rPr>
          <w:rFonts w:hint="eastAsia" w:ascii="宋体" w:hAnsi="宋体" w:cs="宋体"/>
          <w:b/>
          <w:bCs/>
          <w:sz w:val="32"/>
          <w:szCs w:val="32"/>
          <w:lang w:val="en-US" w:eastAsia="zh-CN"/>
        </w:rPr>
        <w:t>中山国际酒店员工宿舍电梯采购项目</w:t>
      </w:r>
      <w:r>
        <w:rPr>
          <w:rFonts w:hint="eastAsia" w:ascii="宋体" w:hAnsi="宋体" w:cs="宋体"/>
          <w:b/>
          <w:bCs/>
          <w:sz w:val="32"/>
          <w:szCs w:val="32"/>
          <w:lang w:eastAsia="zh-CN"/>
        </w:rPr>
        <w:t>报价单</w:t>
      </w:r>
    </w:p>
    <w:tbl>
      <w:tblPr>
        <w:tblStyle w:val="19"/>
        <w:tblW w:w="14760"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0"/>
        <w:gridCol w:w="2475"/>
        <w:gridCol w:w="5175"/>
        <w:gridCol w:w="585"/>
        <w:gridCol w:w="825"/>
        <w:gridCol w:w="1800"/>
        <w:gridCol w:w="1740"/>
        <w:gridCol w:w="1350"/>
      </w:tblGrid>
      <w:tr w14:paraId="4E33D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810" w:type="dxa"/>
            <w:tcBorders>
              <w:top w:val="single" w:color="000000" w:sz="4" w:space="0"/>
              <w:left w:val="single" w:color="000000" w:sz="4" w:space="0"/>
              <w:bottom w:val="nil"/>
              <w:right w:val="single" w:color="000000" w:sz="4" w:space="0"/>
            </w:tcBorders>
            <w:shd w:val="clear" w:color="auto" w:fill="auto"/>
            <w:vAlign w:val="center"/>
          </w:tcPr>
          <w:p w14:paraId="15259B8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475" w:type="dxa"/>
            <w:tcBorders>
              <w:top w:val="single" w:color="000000" w:sz="4" w:space="0"/>
              <w:left w:val="single" w:color="000000" w:sz="4" w:space="0"/>
              <w:bottom w:val="nil"/>
              <w:right w:val="single" w:color="000000" w:sz="4" w:space="0"/>
            </w:tcBorders>
            <w:shd w:val="clear" w:color="auto" w:fill="auto"/>
            <w:vAlign w:val="center"/>
          </w:tcPr>
          <w:p w14:paraId="396FFD4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5175" w:type="dxa"/>
            <w:tcBorders>
              <w:top w:val="single" w:color="000000" w:sz="4" w:space="0"/>
              <w:left w:val="single" w:color="000000" w:sz="4" w:space="0"/>
              <w:bottom w:val="nil"/>
              <w:right w:val="single" w:color="000000" w:sz="4" w:space="0"/>
            </w:tcBorders>
            <w:shd w:val="clear" w:color="auto" w:fill="auto"/>
            <w:vAlign w:val="center"/>
          </w:tcPr>
          <w:p w14:paraId="7AF1E42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项目特征描述</w:t>
            </w:r>
          </w:p>
        </w:tc>
        <w:tc>
          <w:tcPr>
            <w:tcW w:w="585" w:type="dxa"/>
            <w:tcBorders>
              <w:top w:val="single" w:color="000000" w:sz="4" w:space="0"/>
              <w:left w:val="single" w:color="000000" w:sz="4" w:space="0"/>
              <w:bottom w:val="nil"/>
              <w:right w:val="single" w:color="000000" w:sz="4" w:space="0"/>
            </w:tcBorders>
            <w:shd w:val="clear" w:color="auto" w:fill="auto"/>
            <w:vAlign w:val="center"/>
          </w:tcPr>
          <w:p w14:paraId="0948D7B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825" w:type="dxa"/>
            <w:tcBorders>
              <w:top w:val="single" w:color="000000" w:sz="4" w:space="0"/>
              <w:left w:val="single" w:color="000000" w:sz="4" w:space="0"/>
              <w:bottom w:val="nil"/>
              <w:right w:val="single" w:color="000000" w:sz="4" w:space="0"/>
            </w:tcBorders>
            <w:shd w:val="clear" w:color="auto" w:fill="auto"/>
            <w:vAlign w:val="center"/>
          </w:tcPr>
          <w:p w14:paraId="6DB8D09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800" w:type="dxa"/>
            <w:tcBorders>
              <w:top w:val="single" w:color="000000" w:sz="4" w:space="0"/>
              <w:left w:val="single" w:color="000000" w:sz="4" w:space="0"/>
              <w:bottom w:val="nil"/>
              <w:right w:val="single" w:color="000000" w:sz="4" w:space="0"/>
            </w:tcBorders>
            <w:shd w:val="clear" w:color="auto" w:fill="auto"/>
            <w:vAlign w:val="center"/>
          </w:tcPr>
          <w:p w14:paraId="31C22B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含税单价（元）</w:t>
            </w:r>
          </w:p>
        </w:tc>
        <w:tc>
          <w:tcPr>
            <w:tcW w:w="1740" w:type="dxa"/>
            <w:tcBorders>
              <w:top w:val="single" w:color="000000" w:sz="4" w:space="0"/>
              <w:left w:val="single" w:color="000000" w:sz="4" w:space="0"/>
              <w:bottom w:val="nil"/>
              <w:right w:val="nil"/>
            </w:tcBorders>
            <w:shd w:val="clear" w:color="auto" w:fill="auto"/>
            <w:vAlign w:val="center"/>
          </w:tcPr>
          <w:p w14:paraId="644A05B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含税总价（元）</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5177902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备注：报价品牌</w:t>
            </w:r>
          </w:p>
        </w:tc>
      </w:tr>
      <w:tr w14:paraId="22794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7C851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电梯及安装</w:t>
            </w:r>
          </w:p>
        </w:tc>
      </w:tr>
      <w:tr w14:paraId="0291A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trPr>
        <w:tc>
          <w:tcPr>
            <w:tcW w:w="810" w:type="dxa"/>
            <w:tcBorders>
              <w:top w:val="nil"/>
              <w:left w:val="single" w:color="000000" w:sz="4" w:space="0"/>
              <w:bottom w:val="nil"/>
              <w:right w:val="single" w:color="000000" w:sz="4" w:space="0"/>
            </w:tcBorders>
            <w:shd w:val="clear" w:color="auto" w:fill="auto"/>
            <w:vAlign w:val="center"/>
          </w:tcPr>
          <w:p w14:paraId="42558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2475" w:type="dxa"/>
            <w:tcBorders>
              <w:top w:val="nil"/>
              <w:left w:val="single" w:color="000000" w:sz="4" w:space="0"/>
              <w:bottom w:val="nil"/>
              <w:right w:val="single" w:color="000000" w:sz="4" w:space="0"/>
            </w:tcBorders>
            <w:shd w:val="clear" w:color="auto" w:fill="auto"/>
            <w:vAlign w:val="center"/>
          </w:tcPr>
          <w:p w14:paraId="6FE0EC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普通客货</w:t>
            </w:r>
          </w:p>
        </w:tc>
        <w:tc>
          <w:tcPr>
            <w:tcW w:w="5175" w:type="dxa"/>
            <w:tcBorders>
              <w:top w:val="nil"/>
              <w:left w:val="single" w:color="000000" w:sz="4" w:space="0"/>
              <w:bottom w:val="nil"/>
              <w:right w:val="single" w:color="000000" w:sz="4" w:space="0"/>
            </w:tcBorders>
            <w:shd w:val="clear" w:color="auto" w:fill="auto"/>
            <w:vAlign w:val="center"/>
          </w:tcPr>
          <w:p w14:paraId="45875F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1.自动电梯(运行速度2m/s以下)层数、站数7；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2.速度：1.75m/s，载重：1050kg；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3.包含无线五方通话安装及调试；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4.包括设备、安装、调试及政府部门首次验收费用；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.包括国内运输至工地费用和安装棚架费用；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cs="宋体"/>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.不包含电梯非标费、井道的改造、井道预埋件的费用。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参考品牌：</w:t>
            </w:r>
            <w:r>
              <w:rPr>
                <w:rFonts w:hint="eastAsia" w:ascii="宋体" w:hAnsi="宋体" w:cs="宋体"/>
                <w:i w:val="0"/>
                <w:iCs w:val="0"/>
                <w:color w:val="000000"/>
                <w:kern w:val="0"/>
                <w:sz w:val="22"/>
                <w:szCs w:val="22"/>
                <w:highlight w:val="none"/>
                <w:u w:val="none"/>
                <w:lang w:val="en-US" w:eastAsia="zh-CN" w:bidi="ar"/>
              </w:rPr>
              <w:t>富士、日立、西子</w:t>
            </w:r>
            <w:r>
              <w:rPr>
                <w:rFonts w:hint="eastAsia" w:ascii="宋体" w:hAnsi="宋体" w:eastAsia="宋体" w:cs="宋体"/>
                <w:i w:val="0"/>
                <w:iCs w:val="0"/>
                <w:color w:val="000000"/>
                <w:kern w:val="0"/>
                <w:sz w:val="22"/>
                <w:szCs w:val="22"/>
                <w:highlight w:val="none"/>
                <w:u w:val="none"/>
                <w:lang w:val="en-US" w:eastAsia="zh-CN" w:bidi="ar"/>
              </w:rPr>
              <w:t>等或不低于上述品牌档次的其他品牌，供应商须提供技术证明说明同等品质</w:t>
            </w:r>
            <w:r>
              <w:rPr>
                <w:rFonts w:hint="eastAsia" w:ascii="宋体" w:hAnsi="宋体" w:cs="宋体"/>
                <w:i w:val="0"/>
                <w:iCs w:val="0"/>
                <w:color w:val="000000"/>
                <w:kern w:val="0"/>
                <w:sz w:val="22"/>
                <w:szCs w:val="22"/>
                <w:highlight w:val="none"/>
                <w:u w:val="none"/>
                <w:lang w:val="en-US" w:eastAsia="zh-CN" w:bidi="ar"/>
              </w:rPr>
              <w:t>。</w:t>
            </w:r>
          </w:p>
        </w:tc>
        <w:tc>
          <w:tcPr>
            <w:tcW w:w="585" w:type="dxa"/>
            <w:tcBorders>
              <w:top w:val="nil"/>
              <w:left w:val="single" w:color="000000" w:sz="4" w:space="0"/>
              <w:bottom w:val="nil"/>
              <w:right w:val="single" w:color="000000" w:sz="4" w:space="0"/>
            </w:tcBorders>
            <w:shd w:val="clear" w:color="auto" w:fill="auto"/>
            <w:vAlign w:val="center"/>
          </w:tcPr>
          <w:p w14:paraId="34C15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w:t>
            </w:r>
          </w:p>
        </w:tc>
        <w:tc>
          <w:tcPr>
            <w:tcW w:w="825" w:type="dxa"/>
            <w:tcBorders>
              <w:top w:val="nil"/>
              <w:left w:val="single" w:color="000000" w:sz="4" w:space="0"/>
              <w:bottom w:val="nil"/>
              <w:right w:val="single" w:color="000000" w:sz="4" w:space="0"/>
            </w:tcBorders>
            <w:shd w:val="clear" w:color="auto" w:fill="auto"/>
            <w:vAlign w:val="center"/>
          </w:tcPr>
          <w:p w14:paraId="63631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nil"/>
              <w:left w:val="single" w:color="000000" w:sz="4" w:space="0"/>
              <w:bottom w:val="nil"/>
              <w:right w:val="single" w:color="000000" w:sz="4" w:space="0"/>
            </w:tcBorders>
            <w:shd w:val="clear" w:color="auto" w:fill="auto"/>
            <w:vAlign w:val="center"/>
          </w:tcPr>
          <w:p w14:paraId="6D854A64">
            <w:pPr>
              <w:jc w:val="right"/>
              <w:rPr>
                <w:rFonts w:hint="eastAsia" w:ascii="宋体" w:hAnsi="宋体" w:eastAsia="宋体" w:cs="宋体"/>
                <w:i w:val="0"/>
                <w:iCs w:val="0"/>
                <w:color w:val="000000"/>
                <w:sz w:val="22"/>
                <w:szCs w:val="22"/>
                <w:u w:val="none"/>
              </w:rPr>
            </w:pPr>
          </w:p>
        </w:tc>
        <w:tc>
          <w:tcPr>
            <w:tcW w:w="1740" w:type="dxa"/>
            <w:tcBorders>
              <w:top w:val="nil"/>
              <w:left w:val="single" w:color="000000" w:sz="4" w:space="0"/>
              <w:bottom w:val="nil"/>
              <w:right w:val="nil"/>
            </w:tcBorders>
            <w:shd w:val="clear" w:color="auto" w:fill="auto"/>
            <w:vAlign w:val="center"/>
          </w:tcPr>
          <w:p w14:paraId="7D182FEE">
            <w:pPr>
              <w:jc w:val="right"/>
              <w:rPr>
                <w:rFonts w:hint="eastAsia" w:ascii="宋体" w:hAnsi="宋体" w:eastAsia="宋体" w:cs="宋体"/>
                <w:i w:val="0"/>
                <w:iCs w:val="0"/>
                <w:color w:val="000000"/>
                <w:sz w:val="22"/>
                <w:szCs w:val="22"/>
                <w:u w:val="none"/>
              </w:rPr>
            </w:pPr>
          </w:p>
        </w:tc>
        <w:tc>
          <w:tcPr>
            <w:tcW w:w="1350" w:type="dxa"/>
            <w:tcBorders>
              <w:top w:val="nil"/>
              <w:left w:val="single" w:color="000000" w:sz="4" w:space="0"/>
              <w:bottom w:val="nil"/>
              <w:right w:val="single" w:color="000000" w:sz="4" w:space="0"/>
            </w:tcBorders>
            <w:shd w:val="clear" w:color="auto" w:fill="auto"/>
            <w:vAlign w:val="top"/>
          </w:tcPr>
          <w:p w14:paraId="3A125B5A">
            <w:pPr>
              <w:rPr>
                <w:rFonts w:hint="eastAsia" w:ascii="Arial" w:hAnsi="Arial" w:cs="Arial"/>
                <w:i w:val="0"/>
                <w:iCs w:val="0"/>
                <w:color w:val="000000"/>
                <w:sz w:val="22"/>
                <w:szCs w:val="22"/>
                <w:u w:val="none"/>
              </w:rPr>
            </w:pPr>
          </w:p>
        </w:tc>
      </w:tr>
      <w:tr w14:paraId="504FB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13951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电梯新增门洞</w:t>
            </w:r>
          </w:p>
        </w:tc>
      </w:tr>
      <w:tr w14:paraId="38E36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810" w:type="dxa"/>
            <w:tcBorders>
              <w:top w:val="nil"/>
              <w:left w:val="single" w:color="000000" w:sz="4" w:space="0"/>
              <w:bottom w:val="single" w:color="000000" w:sz="4" w:space="0"/>
              <w:right w:val="single" w:color="000000" w:sz="4" w:space="0"/>
            </w:tcBorders>
            <w:shd w:val="clear" w:color="auto" w:fill="auto"/>
            <w:vAlign w:val="center"/>
          </w:tcPr>
          <w:p w14:paraId="7E83F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2475" w:type="dxa"/>
            <w:tcBorders>
              <w:top w:val="nil"/>
              <w:left w:val="single" w:color="000000" w:sz="4" w:space="0"/>
              <w:bottom w:val="single" w:color="000000" w:sz="4" w:space="0"/>
              <w:right w:val="single" w:color="000000" w:sz="4" w:space="0"/>
            </w:tcBorders>
            <w:shd w:val="clear" w:color="auto" w:fill="auto"/>
            <w:vAlign w:val="center"/>
          </w:tcPr>
          <w:p w14:paraId="2CFB7C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新开门洞及砖砌体拆除</w:t>
            </w:r>
          </w:p>
        </w:tc>
        <w:tc>
          <w:tcPr>
            <w:tcW w:w="5175" w:type="dxa"/>
            <w:tcBorders>
              <w:top w:val="nil"/>
              <w:left w:val="single" w:color="000000" w:sz="4" w:space="0"/>
              <w:bottom w:val="single" w:color="000000" w:sz="4" w:space="0"/>
              <w:right w:val="single" w:color="000000" w:sz="4" w:space="0"/>
            </w:tcBorders>
            <w:shd w:val="clear" w:color="auto" w:fill="auto"/>
            <w:vAlign w:val="center"/>
          </w:tcPr>
          <w:p w14:paraId="045278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1.砌体名称：砖砌体拆除；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2.砌体材质：新开1000×2130×220mm砖墙门洞；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3.工作内容：切割拆除、清理碎块；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4.综合考虑：洞口临边防护，建筑垃圾不得抛落电梯井；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5.拆除废料外运，运距10KM。</w:t>
            </w:r>
          </w:p>
        </w:tc>
        <w:tc>
          <w:tcPr>
            <w:tcW w:w="585" w:type="dxa"/>
            <w:tcBorders>
              <w:top w:val="nil"/>
              <w:left w:val="single" w:color="000000" w:sz="4" w:space="0"/>
              <w:bottom w:val="single" w:color="000000" w:sz="4" w:space="0"/>
              <w:right w:val="single" w:color="000000" w:sz="4" w:space="0"/>
            </w:tcBorders>
            <w:shd w:val="clear" w:color="auto" w:fill="auto"/>
            <w:vAlign w:val="center"/>
          </w:tcPr>
          <w:p w14:paraId="002D2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25" w:type="dxa"/>
            <w:tcBorders>
              <w:top w:val="nil"/>
              <w:left w:val="single" w:color="000000" w:sz="4" w:space="0"/>
              <w:bottom w:val="single" w:color="000000" w:sz="4" w:space="0"/>
              <w:right w:val="single" w:color="000000" w:sz="4" w:space="0"/>
            </w:tcBorders>
            <w:shd w:val="clear" w:color="auto" w:fill="auto"/>
            <w:vAlign w:val="center"/>
          </w:tcPr>
          <w:p w14:paraId="17168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800" w:type="dxa"/>
            <w:tcBorders>
              <w:top w:val="nil"/>
              <w:left w:val="single" w:color="000000" w:sz="4" w:space="0"/>
              <w:bottom w:val="single" w:color="000000" w:sz="4" w:space="0"/>
              <w:right w:val="single" w:color="000000" w:sz="4" w:space="0"/>
            </w:tcBorders>
            <w:shd w:val="clear" w:color="auto" w:fill="auto"/>
            <w:vAlign w:val="center"/>
          </w:tcPr>
          <w:p w14:paraId="51B0C01C">
            <w:pPr>
              <w:jc w:val="right"/>
              <w:rPr>
                <w:rFonts w:hint="eastAsia" w:ascii="宋体" w:hAnsi="宋体" w:eastAsia="宋体" w:cs="宋体"/>
                <w:i w:val="0"/>
                <w:iCs w:val="0"/>
                <w:color w:val="000000"/>
                <w:sz w:val="22"/>
                <w:szCs w:val="22"/>
                <w:u w:val="none"/>
              </w:rPr>
            </w:pPr>
          </w:p>
        </w:tc>
        <w:tc>
          <w:tcPr>
            <w:tcW w:w="1740" w:type="dxa"/>
            <w:tcBorders>
              <w:top w:val="nil"/>
              <w:left w:val="single" w:color="000000" w:sz="4" w:space="0"/>
              <w:bottom w:val="single" w:color="000000" w:sz="4" w:space="0"/>
              <w:right w:val="nil"/>
            </w:tcBorders>
            <w:shd w:val="clear" w:color="auto" w:fill="auto"/>
            <w:vAlign w:val="center"/>
          </w:tcPr>
          <w:p w14:paraId="667E2C9B">
            <w:pPr>
              <w:jc w:val="right"/>
              <w:rPr>
                <w:rFonts w:hint="eastAsia" w:ascii="宋体" w:hAnsi="宋体" w:eastAsia="宋体" w:cs="宋体"/>
                <w:i w:val="0"/>
                <w:iCs w:val="0"/>
                <w:color w:val="000000"/>
                <w:sz w:val="22"/>
                <w:szCs w:val="22"/>
                <w:u w:val="none"/>
              </w:rPr>
            </w:pPr>
          </w:p>
        </w:tc>
        <w:tc>
          <w:tcPr>
            <w:tcW w:w="1350" w:type="dxa"/>
            <w:tcBorders>
              <w:top w:val="nil"/>
              <w:left w:val="single" w:color="000000" w:sz="4" w:space="0"/>
              <w:bottom w:val="single" w:color="000000" w:sz="4" w:space="0"/>
              <w:right w:val="single" w:color="000000" w:sz="4" w:space="0"/>
            </w:tcBorders>
            <w:shd w:val="clear" w:color="auto" w:fill="auto"/>
            <w:vAlign w:val="top"/>
          </w:tcPr>
          <w:p w14:paraId="414A98F8">
            <w:pPr>
              <w:jc w:val="left"/>
              <w:rPr>
                <w:rFonts w:hint="default" w:ascii="Arial" w:hAnsi="Arial" w:cs="Arial"/>
                <w:i w:val="0"/>
                <w:iCs w:val="0"/>
                <w:color w:val="000000"/>
                <w:sz w:val="22"/>
                <w:szCs w:val="22"/>
                <w:u w:val="none"/>
              </w:rPr>
            </w:pPr>
          </w:p>
        </w:tc>
      </w:tr>
      <w:tr w14:paraId="1DA16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2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B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过梁</w:t>
            </w:r>
          </w:p>
        </w:tc>
        <w:tc>
          <w:tcPr>
            <w:tcW w:w="5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7F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1.混凝土种类：预拌(商品)混凝土；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2.混凝土强度等级：C25砼；</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3.构件：门窗洞口现浇过梁，尺寸1500×220×120mm。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2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2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31FB">
            <w:pPr>
              <w:jc w:val="right"/>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nil"/>
            </w:tcBorders>
            <w:shd w:val="clear" w:color="auto" w:fill="auto"/>
            <w:vAlign w:val="center"/>
          </w:tcPr>
          <w:p w14:paraId="61565217">
            <w:pPr>
              <w:jc w:val="right"/>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top"/>
          </w:tcPr>
          <w:p w14:paraId="253DFB04">
            <w:pPr>
              <w:jc w:val="left"/>
              <w:rPr>
                <w:rFonts w:hint="default" w:ascii="Arial" w:hAnsi="Arial" w:cs="Arial"/>
                <w:i w:val="0"/>
                <w:iCs w:val="0"/>
                <w:color w:val="000000"/>
                <w:sz w:val="22"/>
                <w:szCs w:val="22"/>
                <w:u w:val="none"/>
              </w:rPr>
            </w:pPr>
          </w:p>
        </w:tc>
      </w:tr>
      <w:tr w14:paraId="328E3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A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 </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44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现浇混凝土梁钢筋</w:t>
            </w:r>
          </w:p>
        </w:tc>
        <w:tc>
          <w:tcPr>
            <w:tcW w:w="5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0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钢筋种类、规格：Ⅲ级钢 Φ 12~ 14 钢筋</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D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D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0.043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7D9A">
            <w:pPr>
              <w:jc w:val="right"/>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nil"/>
            </w:tcBorders>
            <w:shd w:val="clear" w:color="auto" w:fill="auto"/>
            <w:vAlign w:val="center"/>
          </w:tcPr>
          <w:p w14:paraId="15C94EC2">
            <w:pPr>
              <w:jc w:val="right"/>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top"/>
          </w:tcPr>
          <w:p w14:paraId="37B75DEE">
            <w:pPr>
              <w:jc w:val="left"/>
              <w:rPr>
                <w:rFonts w:hint="default" w:ascii="Arial" w:hAnsi="Arial" w:cs="Arial"/>
                <w:i w:val="0"/>
                <w:iCs w:val="0"/>
                <w:color w:val="000000"/>
                <w:sz w:val="22"/>
                <w:szCs w:val="22"/>
                <w:u w:val="none"/>
              </w:rPr>
            </w:pPr>
          </w:p>
        </w:tc>
      </w:tr>
      <w:tr w14:paraId="489A6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2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40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现浇混凝土梁钢筋</w:t>
            </w:r>
          </w:p>
        </w:tc>
        <w:tc>
          <w:tcPr>
            <w:tcW w:w="5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CB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钢筋种类、规格：Ⅰ级钢  Φ10内 箍筋</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8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D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44CA">
            <w:pPr>
              <w:jc w:val="right"/>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nil"/>
            </w:tcBorders>
            <w:shd w:val="clear" w:color="auto" w:fill="auto"/>
            <w:vAlign w:val="center"/>
          </w:tcPr>
          <w:p w14:paraId="26A3CF54">
            <w:pPr>
              <w:jc w:val="right"/>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top"/>
          </w:tcPr>
          <w:p w14:paraId="56D6542D">
            <w:pPr>
              <w:jc w:val="left"/>
              <w:rPr>
                <w:rFonts w:hint="default" w:ascii="Arial" w:hAnsi="Arial" w:cs="Arial"/>
                <w:i w:val="0"/>
                <w:iCs w:val="0"/>
                <w:color w:val="000000"/>
                <w:sz w:val="22"/>
                <w:szCs w:val="22"/>
                <w:u w:val="none"/>
              </w:rPr>
            </w:pPr>
          </w:p>
        </w:tc>
      </w:tr>
      <w:tr w14:paraId="5F5D0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A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AB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过梁模板</w:t>
            </w:r>
          </w:p>
        </w:tc>
        <w:tc>
          <w:tcPr>
            <w:tcW w:w="5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66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过梁模板</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45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B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B8465">
            <w:pPr>
              <w:jc w:val="right"/>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nil"/>
            </w:tcBorders>
            <w:shd w:val="clear" w:color="auto" w:fill="auto"/>
            <w:vAlign w:val="center"/>
          </w:tcPr>
          <w:p w14:paraId="490AA50E">
            <w:pPr>
              <w:jc w:val="right"/>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top"/>
          </w:tcPr>
          <w:p w14:paraId="3B316B6A">
            <w:pPr>
              <w:jc w:val="left"/>
              <w:rPr>
                <w:rFonts w:hint="default" w:ascii="Arial" w:hAnsi="Arial" w:cs="Arial"/>
                <w:i w:val="0"/>
                <w:iCs w:val="0"/>
                <w:color w:val="000000"/>
                <w:sz w:val="22"/>
                <w:szCs w:val="22"/>
                <w:u w:val="none"/>
              </w:rPr>
            </w:pPr>
          </w:p>
        </w:tc>
      </w:tr>
      <w:tr w14:paraId="0D8C5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1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 </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AC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墙、柱面一般抹灰</w:t>
            </w:r>
          </w:p>
        </w:tc>
        <w:tc>
          <w:tcPr>
            <w:tcW w:w="5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A0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1.基层类型、部位：门洞侧壁及周边抹灰找平；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2.后期砖墙切割新开电梯门洞，洞口边角挂耐碱防裂网，砂浆养护。</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1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9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F00F">
            <w:pPr>
              <w:jc w:val="right"/>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nil"/>
            </w:tcBorders>
            <w:shd w:val="clear" w:color="auto" w:fill="auto"/>
            <w:vAlign w:val="center"/>
          </w:tcPr>
          <w:p w14:paraId="07C1E7BB">
            <w:pPr>
              <w:jc w:val="right"/>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top"/>
          </w:tcPr>
          <w:p w14:paraId="60ADFDE1">
            <w:pPr>
              <w:jc w:val="left"/>
              <w:rPr>
                <w:rFonts w:hint="default" w:ascii="Arial" w:hAnsi="Arial" w:cs="Arial"/>
                <w:i w:val="0"/>
                <w:iCs w:val="0"/>
                <w:color w:val="000000"/>
                <w:sz w:val="22"/>
                <w:szCs w:val="22"/>
                <w:u w:val="none"/>
              </w:rPr>
            </w:pPr>
          </w:p>
        </w:tc>
      </w:tr>
      <w:tr w14:paraId="0051D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4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 </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C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电梯井门洞三边门套制作安装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（门套材质是1.2厚拉丝不锈钢）</w:t>
            </w:r>
          </w:p>
        </w:tc>
        <w:tc>
          <w:tcPr>
            <w:tcW w:w="5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F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1.新开门洞：1000×2130×220mm；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2.门套材质：1.2厚拉丝不锈钢；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3.展开宽度240mm，正面贴脸出墙20mm，筒子板220mm，井道内侧不包，缝隙防火密封胶封堵</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4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A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35B7">
            <w:pPr>
              <w:jc w:val="right"/>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nil"/>
            </w:tcBorders>
            <w:shd w:val="clear" w:color="auto" w:fill="auto"/>
            <w:vAlign w:val="center"/>
          </w:tcPr>
          <w:p w14:paraId="34F70B10">
            <w:pPr>
              <w:jc w:val="right"/>
              <w:rPr>
                <w:rFonts w:hint="eastAsia" w:ascii="宋体" w:hAnsi="宋体" w:eastAsia="宋体" w:cs="宋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top"/>
          </w:tcPr>
          <w:p w14:paraId="1498D1A9">
            <w:pPr>
              <w:jc w:val="left"/>
              <w:rPr>
                <w:rFonts w:hint="default" w:ascii="Arial" w:hAnsi="Arial" w:cs="Arial"/>
                <w:i w:val="0"/>
                <w:iCs w:val="0"/>
                <w:color w:val="000000"/>
                <w:sz w:val="22"/>
                <w:szCs w:val="22"/>
                <w:u w:val="none"/>
              </w:rPr>
            </w:pPr>
          </w:p>
        </w:tc>
      </w:tr>
      <w:tr w14:paraId="21387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27FA6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项目总价：</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元（上限价为：133570.68元，超出上限价为无效报价）。</w:t>
            </w:r>
          </w:p>
        </w:tc>
      </w:tr>
      <w:tr w14:paraId="27547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102C8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以上报价税率：</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普通发票</w:t>
            </w:r>
            <w:r>
              <w:rPr>
                <w:rFonts w:ascii="Wingdings" w:hAnsi="Wingdings" w:eastAsia="宋体" w:cs="Wingdings"/>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增值税专用发票</w:t>
            </w:r>
            <w:r>
              <w:rPr>
                <w:rFonts w:ascii="Wingdings" w:hAnsi="Wingdings" w:eastAsia="宋体" w:cs="Wingdings"/>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w:t>
            </w:r>
            <w:r>
              <w:rPr>
                <w:rFonts w:ascii="Wingdings" w:hAnsi="Wingdings" w:eastAsia="宋体" w:cs="Wingdings"/>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内勾选发票类型）。</w:t>
            </w:r>
          </w:p>
        </w:tc>
      </w:tr>
      <w:tr w14:paraId="771C2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86263B">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本项目供应商须具备有效的《特种设备生产许可证》，许可项目包含电梯安装（含修理）；若为代理商，除自身安装修理资质外，还须提供所投电梯制造商特种设备生产许可证（电梯制造（含安装、修理、改造））及项目授权书。</w:t>
            </w:r>
          </w:p>
        </w:tc>
      </w:tr>
      <w:tr w14:paraId="414A9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57832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项目保修期：</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年（不少于3年），工期</w:t>
            </w:r>
            <w:r>
              <w:rPr>
                <w:rFonts w:hint="eastAsia" w:ascii="宋体" w:hAnsi="宋体" w:eastAsia="宋体" w:cs="宋体"/>
                <w:b/>
                <w:bCs/>
                <w:i w:val="0"/>
                <w:iCs w:val="0"/>
                <w:color w:val="000000"/>
                <w:kern w:val="0"/>
                <w:sz w:val="22"/>
                <w:szCs w:val="22"/>
                <w:u w:val="single"/>
                <w:lang w:val="en-US" w:eastAsia="zh-CN" w:bidi="ar"/>
              </w:rPr>
              <w:t xml:space="preserve"> 35 </w:t>
            </w:r>
            <w:r>
              <w:rPr>
                <w:rFonts w:hint="eastAsia" w:ascii="宋体" w:hAnsi="宋体" w:eastAsia="宋体" w:cs="宋体"/>
                <w:b/>
                <w:bCs/>
                <w:i w:val="0"/>
                <w:iCs w:val="0"/>
                <w:color w:val="000000"/>
                <w:kern w:val="0"/>
                <w:sz w:val="22"/>
                <w:szCs w:val="22"/>
                <w:u w:val="none"/>
                <w:lang w:val="en-US" w:eastAsia="zh-CN" w:bidi="ar"/>
              </w:rPr>
              <w:t>天，报价人必</w:t>
            </w:r>
            <w:r>
              <w:rPr>
                <w:rFonts w:hint="eastAsia" w:ascii="宋体" w:hAnsi="宋体" w:cs="宋体"/>
                <w:b/>
                <w:bCs/>
                <w:i w:val="0"/>
                <w:iCs w:val="0"/>
                <w:color w:val="000000"/>
                <w:kern w:val="0"/>
                <w:sz w:val="22"/>
                <w:szCs w:val="22"/>
                <w:u w:val="none"/>
                <w:lang w:val="en-US" w:eastAsia="zh-CN" w:bidi="ar"/>
              </w:rPr>
              <w:t>须</w:t>
            </w:r>
            <w:r>
              <w:rPr>
                <w:rFonts w:hint="eastAsia" w:ascii="宋体" w:hAnsi="宋体" w:eastAsia="宋体" w:cs="宋体"/>
                <w:b/>
                <w:bCs/>
                <w:i w:val="0"/>
                <w:iCs w:val="0"/>
                <w:color w:val="000000"/>
                <w:kern w:val="0"/>
                <w:sz w:val="22"/>
                <w:szCs w:val="22"/>
                <w:u w:val="none"/>
                <w:lang w:val="en-US" w:eastAsia="zh-CN" w:bidi="ar"/>
              </w:rPr>
              <w:t>严格按施工图纸内容执行施工</w:t>
            </w:r>
            <w:r>
              <w:rPr>
                <w:rFonts w:hint="eastAsia" w:ascii="宋体" w:hAnsi="宋体" w:cs="宋体"/>
                <w:b/>
                <w:bCs/>
                <w:i w:val="0"/>
                <w:iCs w:val="0"/>
                <w:color w:val="000000"/>
                <w:kern w:val="0"/>
                <w:sz w:val="22"/>
                <w:szCs w:val="22"/>
                <w:u w:val="none"/>
                <w:lang w:val="en-US" w:eastAsia="zh-CN" w:bidi="ar"/>
              </w:rPr>
              <w:t>，</w:t>
            </w:r>
            <w:r>
              <w:rPr>
                <w:rFonts w:hint="eastAsia" w:ascii="宋体" w:hAnsi="宋体" w:cs="宋体"/>
                <w:b/>
                <w:bCs/>
                <w:i w:val="0"/>
                <w:iCs w:val="0"/>
                <w:color w:val="auto"/>
                <w:kern w:val="0"/>
                <w:sz w:val="22"/>
                <w:szCs w:val="22"/>
                <w:u w:val="none"/>
                <w:lang w:val="en-US" w:eastAsia="zh-CN" w:bidi="ar"/>
              </w:rPr>
              <w:t>各项物资质量及性能不低于以上项目特征描述中提出的要求</w:t>
            </w:r>
            <w:r>
              <w:rPr>
                <w:rFonts w:hint="eastAsia" w:ascii="宋体" w:hAnsi="宋体" w:eastAsia="宋体" w:cs="宋体"/>
                <w:b/>
                <w:bCs/>
                <w:i w:val="0"/>
                <w:iCs w:val="0"/>
                <w:color w:val="auto"/>
                <w:kern w:val="0"/>
                <w:sz w:val="22"/>
                <w:szCs w:val="22"/>
                <w:u w:val="none"/>
                <w:lang w:val="en-US" w:eastAsia="zh-CN" w:bidi="ar"/>
              </w:rPr>
              <w:t>。</w:t>
            </w:r>
          </w:p>
        </w:tc>
      </w:tr>
      <w:tr w14:paraId="1C840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F9E66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备注：（1）需对施工现场地面进行保护，地面铺设PVC耐磨防护垫，垫与垫之间用专用粘贴胶带固定。施工位置须围蔽，并设有明确标志，防止闲人进入。高空作业须正确佩戴安全带、安全帽。</w:t>
            </w:r>
          </w:p>
        </w:tc>
      </w:tr>
      <w:tr w14:paraId="632D7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2B9D5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（2）现场施工垃圾由施工方负责清运处理，每天完工后施工现场须保持整洁。</w:t>
            </w:r>
          </w:p>
        </w:tc>
      </w:tr>
      <w:tr w14:paraId="18176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4CACB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（3）施工过程中因施工方少报漏报材料或人工费用，损坏酒店设备设施，由施工方负责。</w:t>
            </w:r>
          </w:p>
        </w:tc>
      </w:tr>
      <w:tr w14:paraId="2BEC8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FDC88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（4）以上工程完成后，按实际数量验收。</w:t>
            </w:r>
          </w:p>
        </w:tc>
      </w:tr>
      <w:tr w14:paraId="6909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35974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（5）以上所报价格必须包含正规、合法的发票，所有工程项目报价必须包工包料。</w:t>
            </w:r>
          </w:p>
        </w:tc>
      </w:tr>
      <w:tr w14:paraId="47B83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47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8DAF8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（6）施工方须自备配电箱，所有施工用电设备均须在自备配电箱取电。</w:t>
            </w:r>
          </w:p>
        </w:tc>
      </w:tr>
    </w:tbl>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5CEF727F">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w:t>
      </w:r>
      <w:r>
        <w:rPr>
          <w:rFonts w:hint="eastAsia" w:ascii="宋体" w:hAnsi="宋体" w:cs="宋体"/>
          <w:b/>
          <w:bCs/>
          <w:kern w:val="2"/>
          <w:sz w:val="32"/>
          <w:szCs w:val="32"/>
          <w:lang w:val="en-US" w:eastAsia="zh-CN"/>
        </w:rPr>
        <w:t>3</w:t>
      </w:r>
      <w:r>
        <w:rPr>
          <w:rFonts w:hint="eastAsia" w:ascii="宋体" w:hAnsi="宋体" w:eastAsia="宋体" w:cs="宋体"/>
          <w:b/>
          <w:bCs/>
          <w:kern w:val="2"/>
          <w:sz w:val="32"/>
          <w:szCs w:val="32"/>
        </w:rPr>
        <w:t>：</w:t>
      </w:r>
    </w:p>
    <w:tbl>
      <w:tblPr>
        <w:tblStyle w:val="19"/>
        <w:tblW w:w="10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5"/>
        <w:gridCol w:w="585"/>
        <w:gridCol w:w="5796"/>
        <w:gridCol w:w="774"/>
        <w:gridCol w:w="1020"/>
        <w:gridCol w:w="1020"/>
      </w:tblGrid>
      <w:tr w14:paraId="5C2E0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3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ACAD0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商务技术评分表</w:t>
            </w:r>
          </w:p>
        </w:tc>
      </w:tr>
      <w:tr w14:paraId="5CD66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F10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评审项</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92C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5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FD1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评分细则</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6EA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供应商A</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31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供应商B</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77D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供应商C</w:t>
            </w:r>
          </w:p>
        </w:tc>
      </w:tr>
      <w:tr w14:paraId="229C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F4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售后服务方案及突发事件应急预案</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1D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5796" w:type="dxa"/>
            <w:tcBorders>
              <w:top w:val="single" w:color="000000" w:sz="4" w:space="0"/>
              <w:left w:val="single" w:color="000000" w:sz="4" w:space="0"/>
              <w:bottom w:val="nil"/>
              <w:right w:val="single" w:color="000000" w:sz="4" w:space="0"/>
            </w:tcBorders>
            <w:shd w:val="clear" w:color="auto" w:fill="auto"/>
            <w:vAlign w:val="center"/>
          </w:tcPr>
          <w:p w14:paraId="065C8E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评委对各供应商售后服务方案及突发事件应急预案（</w:t>
            </w:r>
            <w:r>
              <w:rPr>
                <w:rFonts w:hint="eastAsia" w:ascii="宋体" w:hAnsi="宋体" w:cs="宋体"/>
                <w:i w:val="0"/>
                <w:iCs w:val="0"/>
                <w:color w:val="000000"/>
                <w:kern w:val="0"/>
                <w:sz w:val="22"/>
                <w:szCs w:val="22"/>
                <w:u w:val="none"/>
                <w:lang w:val="en-US" w:eastAsia="zh-CN" w:bidi="ar"/>
              </w:rPr>
              <w:t>包括</w:t>
            </w:r>
            <w:r>
              <w:rPr>
                <w:rFonts w:hint="eastAsia" w:ascii="宋体" w:hAnsi="宋体" w:eastAsia="宋体" w:cs="宋体"/>
                <w:i w:val="0"/>
                <w:iCs w:val="0"/>
                <w:color w:val="000000"/>
                <w:kern w:val="0"/>
                <w:sz w:val="22"/>
                <w:szCs w:val="22"/>
                <w:u w:val="none"/>
                <w:lang w:val="en-US" w:eastAsia="zh-CN" w:bidi="ar"/>
              </w:rPr>
              <w:t>明确困人报警30分钟内到场处置</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具备本地备件保障方案</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故障抢修流程完整</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提供24小时报修热线</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维修响应时间、维修方式、维护保养方案、备品备件清单）进行评审：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1.售后服务及突发事件应急预案完整、可行，响应时间高效、及时，备品备件数量充足，维修维保方便，操作性强，很好地体现以人为本、服务至上的售后理念的得20分；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2.售后服务及突发事件应急预案具体、可行，响应时间较及时，备品备件数量相对充足，维修维保相对方便，操作性较强，较好地体现以人为本、服务至上的售后理念的得10分；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3.售后服务方案及突发事件应急预案内容简单，响应时间一般，备品备件数量一般，维修维保方便性一般， 操作性一般，体现以人为本、服务至上的售后理念一般的得5分；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4.方案不满足要求或未提供相关资料的不得分。</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top"/>
          </w:tcPr>
          <w:p w14:paraId="48292B5E">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45DF7243">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41B9141">
            <w:pPr>
              <w:jc w:val="left"/>
              <w:rPr>
                <w:rFonts w:hint="eastAsia" w:ascii="宋体" w:hAnsi="宋体" w:eastAsia="宋体" w:cs="宋体"/>
                <w:i w:val="0"/>
                <w:iCs w:val="0"/>
                <w:color w:val="000000"/>
                <w:sz w:val="22"/>
                <w:szCs w:val="22"/>
                <w:u w:val="none"/>
              </w:rPr>
            </w:pPr>
          </w:p>
        </w:tc>
      </w:tr>
      <w:tr w14:paraId="1F63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84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安全文明施工方案</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083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5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B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评委对各供应商提供的安全文明施工方案进行评分：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1.方案措施明确、具体、针对性强、可行性强，满足且优于采购需求的得20分；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2.方案措施较明确、针对性较强、可行性较强，完全满足采购需求的得10分；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3.方案措施针对性不强，不能完全满足采购需求的得5分；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4.方案不满足要求或未提供相关资料的不得分。</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top"/>
          </w:tcPr>
          <w:p w14:paraId="2AEF38EE">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1AD02C3F">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7A68A800">
            <w:pPr>
              <w:jc w:val="left"/>
              <w:rPr>
                <w:rFonts w:hint="eastAsia" w:ascii="宋体" w:hAnsi="宋体" w:eastAsia="宋体" w:cs="宋体"/>
                <w:i w:val="0"/>
                <w:iCs w:val="0"/>
                <w:color w:val="000000"/>
                <w:sz w:val="22"/>
                <w:szCs w:val="22"/>
                <w:u w:val="none"/>
              </w:rPr>
            </w:pPr>
          </w:p>
        </w:tc>
      </w:tr>
      <w:tr w14:paraId="6D955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AB6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工程质量控制方案</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A5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5796" w:type="dxa"/>
            <w:tcBorders>
              <w:top w:val="single" w:color="000000" w:sz="4" w:space="0"/>
              <w:left w:val="single" w:color="000000" w:sz="4" w:space="0"/>
              <w:bottom w:val="single" w:color="auto" w:sz="4" w:space="0"/>
              <w:right w:val="single" w:color="000000" w:sz="4" w:space="0"/>
            </w:tcBorders>
            <w:shd w:val="clear" w:color="auto" w:fill="auto"/>
            <w:vAlign w:val="center"/>
          </w:tcPr>
          <w:p w14:paraId="5D72668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评委对各供应商提供的工程质量控制方案（包括但不限于施工质量控制、工程进度控制、风险管理控制、质量保证）等进行评审：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w:t>
            </w:r>
            <w:r>
              <w:rPr>
                <w:rFonts w:ascii="宋体" w:hAnsi="宋体" w:eastAsia="宋体" w:cs="宋体"/>
                <w:sz w:val="24"/>
                <w:szCs w:val="24"/>
              </w:rPr>
              <w:t>包含设备进场检验、安装工序管控、隐蔽工程验收、调试校验、进度管控、风险识别及处置、成品保护，内容完整，措施具体，贴合本项目</w:t>
            </w:r>
            <w:r>
              <w:rPr>
                <w:rFonts w:hint="eastAsia" w:ascii="宋体" w:hAnsi="宋体" w:eastAsia="宋体" w:cs="宋体"/>
                <w:sz w:val="24"/>
                <w:szCs w:val="24"/>
                <w:lang w:val="en-US" w:eastAsia="zh-CN"/>
              </w:rPr>
              <w:t>得20分</w:t>
            </w:r>
            <w:r>
              <w:rPr>
                <w:rFonts w:ascii="宋体" w:hAnsi="宋体" w:eastAsia="宋体" w:cs="宋体"/>
                <w:sz w:val="24"/>
                <w:szCs w:val="24"/>
              </w:rPr>
              <w:t xml:space="preserve">； </w:t>
            </w:r>
            <w:r>
              <w:rPr>
                <w:rFonts w:hint="eastAsia" w:ascii="宋体" w:hAnsi="宋体" w:eastAsia="宋体" w:cs="宋体"/>
                <w:sz w:val="24"/>
                <w:szCs w:val="24"/>
                <w:lang w:val="en-US" w:eastAsia="zh-CN"/>
              </w:rPr>
              <w:t xml:space="preserve">         2.</w:t>
            </w:r>
            <w:r>
              <w:rPr>
                <w:rFonts w:ascii="宋体" w:hAnsi="宋体" w:eastAsia="宋体" w:cs="宋体"/>
                <w:sz w:val="24"/>
                <w:szCs w:val="24"/>
              </w:rPr>
              <w:t>包含主要质量管控环节，措施基本满足项目</w:t>
            </w:r>
            <w:r>
              <w:rPr>
                <w:rFonts w:hint="eastAsia" w:ascii="宋体" w:hAnsi="宋体" w:eastAsia="宋体" w:cs="宋体"/>
                <w:sz w:val="24"/>
                <w:szCs w:val="24"/>
                <w:lang w:val="en-US" w:eastAsia="zh-CN"/>
              </w:rPr>
              <w:t>得10分</w:t>
            </w:r>
            <w:r>
              <w:rPr>
                <w:rFonts w:ascii="宋体" w:hAnsi="宋体" w:eastAsia="宋体" w:cs="宋体"/>
                <w:sz w:val="24"/>
                <w:szCs w:val="24"/>
              </w:rPr>
              <w:t xml:space="preserve">； </w:t>
            </w:r>
          </w:p>
          <w:p w14:paraId="782F1C7F">
            <w:pPr>
              <w:keepNext w:val="0"/>
              <w:keepLines w:val="0"/>
              <w:widowControl/>
              <w:numPr>
                <w:ilvl w:val="0"/>
                <w:numId w:val="0"/>
              </w:numPr>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ascii="宋体" w:hAnsi="宋体" w:eastAsia="宋体" w:cs="宋体"/>
                <w:sz w:val="24"/>
                <w:szCs w:val="24"/>
              </w:rPr>
              <w:t>仅有简单描述，关键管控环节缺失</w:t>
            </w:r>
            <w:r>
              <w:rPr>
                <w:rFonts w:hint="eastAsia" w:ascii="宋体" w:hAnsi="宋体" w:eastAsia="宋体" w:cs="宋体"/>
                <w:sz w:val="24"/>
                <w:szCs w:val="24"/>
                <w:lang w:val="en-US" w:eastAsia="zh-CN"/>
              </w:rPr>
              <w:t>得5</w:t>
            </w:r>
            <w:r>
              <w:rPr>
                <w:rFonts w:ascii="宋体" w:hAnsi="宋体" w:eastAsia="宋体" w:cs="宋体"/>
                <w:sz w:val="24"/>
                <w:szCs w:val="24"/>
              </w:rPr>
              <w:t>分</w:t>
            </w:r>
            <w:r>
              <w:rPr>
                <w:rFonts w:hint="eastAsia" w:ascii="宋体" w:hAnsi="宋体" w:eastAsia="宋体" w:cs="宋体"/>
                <w:sz w:val="24"/>
                <w:szCs w:val="24"/>
                <w:lang w:val="en-US" w:eastAsia="zh-CN"/>
              </w:rPr>
              <w:t>；</w:t>
            </w:r>
          </w:p>
          <w:p w14:paraId="764C4357">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4"/>
                <w:szCs w:val="24"/>
                <w:lang w:val="en-US" w:eastAsia="zh-CN"/>
              </w:rPr>
              <w:t>4.</w:t>
            </w:r>
            <w:r>
              <w:rPr>
                <w:rFonts w:ascii="宋体" w:hAnsi="宋体" w:eastAsia="宋体" w:cs="宋体"/>
                <w:sz w:val="24"/>
                <w:szCs w:val="24"/>
              </w:rPr>
              <w:t>未提供方案</w:t>
            </w:r>
            <w:r>
              <w:rPr>
                <w:rFonts w:hint="eastAsia" w:ascii="宋体" w:hAnsi="宋体" w:eastAsia="宋体" w:cs="宋体"/>
                <w:sz w:val="24"/>
                <w:szCs w:val="24"/>
                <w:lang w:val="en-US" w:eastAsia="zh-CN"/>
              </w:rPr>
              <w:t>不得分</w:t>
            </w:r>
            <w:r>
              <w:rPr>
                <w:rFonts w:ascii="宋体" w:hAnsi="宋体" w:eastAsia="宋体" w:cs="宋体"/>
                <w:sz w:val="24"/>
                <w:szCs w:val="24"/>
              </w:rPr>
              <w:t>。</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top"/>
          </w:tcPr>
          <w:p w14:paraId="3C4EC91E">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3257C79D">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653674C0">
            <w:pPr>
              <w:jc w:val="left"/>
              <w:rPr>
                <w:rFonts w:hint="eastAsia" w:ascii="宋体" w:hAnsi="宋体" w:eastAsia="宋体" w:cs="宋体"/>
                <w:i w:val="0"/>
                <w:iCs w:val="0"/>
                <w:color w:val="000000"/>
                <w:sz w:val="22"/>
                <w:szCs w:val="22"/>
                <w:u w:val="none"/>
              </w:rPr>
            </w:pPr>
          </w:p>
        </w:tc>
      </w:tr>
      <w:tr w14:paraId="234BE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9B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同类项目业绩</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0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5796" w:type="dxa"/>
            <w:tcBorders>
              <w:top w:val="single" w:color="auto" w:sz="4" w:space="0"/>
              <w:left w:val="single" w:color="000000" w:sz="4" w:space="0"/>
              <w:bottom w:val="single" w:color="auto" w:sz="4" w:space="0"/>
              <w:right w:val="single" w:color="000000" w:sz="4" w:space="0"/>
            </w:tcBorders>
            <w:shd w:val="clear" w:color="auto" w:fill="auto"/>
            <w:vAlign w:val="center"/>
          </w:tcPr>
          <w:p w14:paraId="47BE49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根据供应商自2023年8月1日至投标时间截止前完成过的同类电梯采购 / 电梯采购及安装项目业绩10万元以上项目每个得5分；本项最多得20分。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注：附合同关键页（含签订合同双方的单位名称、合同项目名称、项目金额与含签订合同双方的落款盖章、签订日期的关键页）、任意金额的发票复印件并加盖公章，不提供不得分，时间以合同签订时间为准。</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top"/>
          </w:tcPr>
          <w:p w14:paraId="6CD1DF75">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3F51AF13">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5F701247">
            <w:pPr>
              <w:jc w:val="left"/>
              <w:rPr>
                <w:rFonts w:hint="eastAsia" w:ascii="宋体" w:hAnsi="宋体" w:eastAsia="宋体" w:cs="宋体"/>
                <w:i w:val="0"/>
                <w:iCs w:val="0"/>
                <w:color w:val="000000"/>
                <w:sz w:val="22"/>
                <w:szCs w:val="22"/>
                <w:u w:val="none"/>
              </w:rPr>
            </w:pPr>
          </w:p>
        </w:tc>
      </w:tr>
      <w:tr w14:paraId="33327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4B6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体系认证</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0D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5796" w:type="dxa"/>
            <w:tcBorders>
              <w:top w:val="single" w:color="auto" w:sz="4" w:space="0"/>
              <w:left w:val="single" w:color="000000" w:sz="4" w:space="0"/>
              <w:bottom w:val="nil"/>
              <w:right w:val="single" w:color="000000" w:sz="4" w:space="0"/>
            </w:tcBorders>
            <w:shd w:val="clear" w:color="auto" w:fill="auto"/>
            <w:vAlign w:val="center"/>
          </w:tcPr>
          <w:p w14:paraId="7ED056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供应商具有有效的质量管理体系认证、环境管理体系认证、职业健康安全管理体系认证，每个认证得2分，本项最高得6分。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注：同时提供有效期内的证书复印件和网站公布的链接信息资料（网址以http：//www.cnca.gov.cn/网站公布为准）并加盖供应商公章，已失效或撤销或暂停的不得分，未同时提供以上材料的不得分。公开信息中无法查询或与公开信息不一致的，供应商必须提供发证机构出具的证明函。</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top"/>
          </w:tcPr>
          <w:p w14:paraId="7435A94D">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5AF2010A">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46D2C02">
            <w:pPr>
              <w:jc w:val="left"/>
              <w:rPr>
                <w:rFonts w:hint="eastAsia" w:ascii="宋体" w:hAnsi="宋体" w:eastAsia="宋体" w:cs="宋体"/>
                <w:i w:val="0"/>
                <w:iCs w:val="0"/>
                <w:color w:val="000000"/>
                <w:sz w:val="22"/>
                <w:szCs w:val="22"/>
                <w:u w:val="none"/>
              </w:rPr>
            </w:pPr>
          </w:p>
        </w:tc>
      </w:tr>
      <w:tr w14:paraId="0E56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B85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拟投入项目团队人员</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9D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5796" w:type="dxa"/>
            <w:tcBorders>
              <w:top w:val="single" w:color="000000" w:sz="4" w:space="0"/>
              <w:left w:val="single" w:color="000000" w:sz="4" w:space="0"/>
              <w:bottom w:val="nil"/>
              <w:right w:val="single" w:color="000000" w:sz="4" w:space="0"/>
            </w:tcBorders>
            <w:shd w:val="clear" w:color="auto" w:fill="auto"/>
            <w:vAlign w:val="center"/>
          </w:tcPr>
          <w:p w14:paraId="03CD0A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拟投入项目团队人员中：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1、项目负责人：具有机电类专业中级或以上职称的，得6分。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2、项目团队人员：投入项目团队人员（除项目负责人外）每提供一名具有机电类专业中级工程师或以上职称的，得4分，本小项最高得8分。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注：（1）响应文件中须提供上述人员的相关证书、身份证和2026年5月至2026年8月任意一个月在供应商单位购买社保的证明或单位代缴个人所得税证明。若供应商在投标时未能提供人员社保的，可以在响应文件中提供相关承诺，视为满足评审要求（承诺函须加盖公章，格式自行编制，承诺函内容包括但不限于以下内容：“若我单位中标（成交），合同签订前保证按响应文件中所配备人员投入到位并提供上述人员的社保证明或劳务合同复印件加盖公章，否则视为我单位放弃中标资格”）；如果供应商成立时间或该人员入职不足1个月，则提供人员入职证明；如果供应商上述人员为其他用工形式，则供应商还需提供该人员用工关系的证明资料且人员用工关系证明中须列明该人员的用工期限，用工期限应涵盖本项目服务时间，否则不得分。 （2）不提供或不按要求提供上述证明资料的不得分。</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top"/>
          </w:tcPr>
          <w:p w14:paraId="5D2EC9AF">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4ED1C7E5">
            <w:pPr>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52543CCD">
            <w:pPr>
              <w:jc w:val="left"/>
              <w:rPr>
                <w:rFonts w:hint="eastAsia" w:ascii="宋体" w:hAnsi="宋体" w:eastAsia="宋体" w:cs="宋体"/>
                <w:i w:val="0"/>
                <w:iCs w:val="0"/>
                <w:color w:val="000000"/>
                <w:sz w:val="22"/>
                <w:szCs w:val="22"/>
                <w:u w:val="none"/>
              </w:rPr>
            </w:pPr>
          </w:p>
        </w:tc>
      </w:tr>
      <w:tr w14:paraId="66C9E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5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6926B">
            <w:pPr>
              <w:keepNext w:val="0"/>
              <w:keepLines w:val="0"/>
              <w:widowControl/>
              <w:suppressLineNumbers w:val="0"/>
              <w:jc w:val="righ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总分</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top"/>
          </w:tcPr>
          <w:p w14:paraId="6C03B667">
            <w:pPr>
              <w:jc w:val="left"/>
              <w:rPr>
                <w:rFonts w:hint="eastAsia" w:ascii="宋体" w:hAnsi="宋体" w:eastAsia="宋体" w:cs="宋体"/>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54C1377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2612">
            <w:pPr>
              <w:rPr>
                <w:rFonts w:hint="eastAsia" w:ascii="宋体" w:hAnsi="宋体" w:eastAsia="宋体" w:cs="宋体"/>
                <w:i w:val="0"/>
                <w:iCs w:val="0"/>
                <w:color w:val="000000"/>
                <w:sz w:val="22"/>
                <w:szCs w:val="22"/>
                <w:u w:val="none"/>
              </w:rPr>
            </w:pPr>
          </w:p>
        </w:tc>
      </w:tr>
    </w:tbl>
    <w:p w14:paraId="32E666D9">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25FD3F44">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1EA57E0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4CCDF89E">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72038E40">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15861919">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w:t>
      </w:r>
      <w:r>
        <w:rPr>
          <w:rFonts w:hint="eastAsia" w:ascii="宋体" w:hAnsi="宋体" w:cs="宋体"/>
          <w:b/>
          <w:bCs/>
          <w:kern w:val="2"/>
          <w:sz w:val="32"/>
          <w:szCs w:val="32"/>
          <w:lang w:val="en-US" w:eastAsia="zh-CN"/>
        </w:rPr>
        <w:t>4</w:t>
      </w:r>
      <w:r>
        <w:rPr>
          <w:rFonts w:hint="eastAsia" w:ascii="宋体" w:hAnsi="宋体" w:eastAsia="宋体" w:cs="宋体"/>
          <w:b/>
          <w:bCs/>
          <w:kern w:val="2"/>
          <w:sz w:val="32"/>
          <w:szCs w:val="32"/>
        </w:rPr>
        <w:t>：</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中山国际酒店员工宿舍电梯采购项目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20"/>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中山国际酒店员工宿舍电梯采购项目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20"/>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w:t>
      </w:r>
      <w:r>
        <w:rPr>
          <w:rFonts w:hint="eastAsia" w:ascii="宋体" w:hAnsi="宋体" w:cs="宋体"/>
          <w:b/>
          <w:bCs/>
          <w:sz w:val="32"/>
          <w:szCs w:val="32"/>
          <w:lang w:val="en-US" w:eastAsia="zh-CN"/>
        </w:rPr>
        <w:t>5</w:t>
      </w:r>
      <w:r>
        <w:rPr>
          <w:rFonts w:hint="eastAsia" w:ascii="宋体" w:hAnsi="宋体" w:cs="宋体"/>
          <w:b/>
          <w:bCs/>
          <w:sz w:val="32"/>
          <w:szCs w:val="32"/>
        </w:rPr>
        <w:t>：</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11"/>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11"/>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11"/>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var(--dsw-font-markdown-tab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EC8C8"/>
    <w:multiLevelType w:val="singleLevel"/>
    <w:tmpl w:val="811EC8C8"/>
    <w:lvl w:ilvl="0" w:tentative="0">
      <w:start w:val="1"/>
      <w:numFmt w:val="decimal"/>
      <w:suff w:val="nothing"/>
      <w:lvlText w:val="%1．"/>
      <w:lvlJc w:val="left"/>
      <w:pPr>
        <w:ind w:left="0" w:firstLine="400"/>
      </w:pPr>
      <w:rPr>
        <w:rFonts w:hint="default"/>
      </w:rPr>
    </w:lvl>
  </w:abstractNum>
  <w:abstractNum w:abstractNumId="1">
    <w:nsid w:val="9DF88951"/>
    <w:multiLevelType w:val="singleLevel"/>
    <w:tmpl w:val="9DF88951"/>
    <w:lvl w:ilvl="0" w:tentative="0">
      <w:start w:val="1"/>
      <w:numFmt w:val="decimal"/>
      <w:suff w:val="space"/>
      <w:lvlText w:val="%1."/>
      <w:lvlJc w:val="left"/>
      <w:pPr>
        <w:ind w:left="615" w:hanging="425"/>
      </w:pPr>
      <w:rPr>
        <w:rFonts w:hint="default"/>
      </w:rPr>
    </w:lvl>
  </w:abstractNum>
  <w:abstractNum w:abstractNumId="2">
    <w:nsid w:val="AD3C3CE5"/>
    <w:multiLevelType w:val="singleLevel"/>
    <w:tmpl w:val="AD3C3CE5"/>
    <w:lvl w:ilvl="0" w:tentative="0">
      <w:start w:val="1"/>
      <w:numFmt w:val="decimal"/>
      <w:lvlText w:val="(%1)"/>
      <w:lvlJc w:val="left"/>
      <w:pPr>
        <w:ind w:left="425" w:hanging="425"/>
      </w:pPr>
      <w:rPr>
        <w:rFonts w:hint="default"/>
      </w:rPr>
    </w:lvl>
  </w:abstractNum>
  <w:abstractNum w:abstractNumId="3">
    <w:nsid w:val="DF612A09"/>
    <w:multiLevelType w:val="singleLevel"/>
    <w:tmpl w:val="DF612A09"/>
    <w:lvl w:ilvl="0" w:tentative="0">
      <w:start w:val="1"/>
      <w:numFmt w:val="chineseCounting"/>
      <w:suff w:val="nothing"/>
      <w:lvlText w:val="（%1）"/>
      <w:lvlJc w:val="left"/>
      <w:pPr>
        <w:ind w:left="0" w:firstLine="420"/>
      </w:pPr>
      <w:rPr>
        <w:rFonts w:hint="eastAsia"/>
      </w:rPr>
    </w:lvl>
  </w:abstractNum>
  <w:abstractNum w:abstractNumId="4">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5">
    <w:nsid w:val="11363F7D"/>
    <w:multiLevelType w:val="singleLevel"/>
    <w:tmpl w:val="11363F7D"/>
    <w:lvl w:ilvl="0" w:tentative="0">
      <w:start w:val="1"/>
      <w:numFmt w:val="chineseCounting"/>
      <w:suff w:val="nothing"/>
      <w:lvlText w:val="（%1）"/>
      <w:lvlJc w:val="left"/>
      <w:pPr>
        <w:ind w:left="0" w:firstLine="420"/>
      </w:pPr>
      <w:rPr>
        <w:rFonts w:hint="eastAsia"/>
      </w:rPr>
    </w:lvl>
  </w:abstractNum>
  <w:abstractNum w:abstractNumId="6">
    <w:nsid w:val="22C788AD"/>
    <w:multiLevelType w:val="singleLevel"/>
    <w:tmpl w:val="22C788AD"/>
    <w:lvl w:ilvl="0" w:tentative="0">
      <w:start w:val="1"/>
      <w:numFmt w:val="decimal"/>
      <w:suff w:val="nothing"/>
      <w:lvlText w:val="%1、"/>
      <w:lvlJc w:val="left"/>
    </w:lvl>
  </w:abstractNum>
  <w:abstractNum w:abstractNumId="7">
    <w:nsid w:val="25E89503"/>
    <w:multiLevelType w:val="singleLevel"/>
    <w:tmpl w:val="25E89503"/>
    <w:lvl w:ilvl="0" w:tentative="0">
      <w:start w:val="1"/>
      <w:numFmt w:val="decimal"/>
      <w:lvlText w:val="%1."/>
      <w:lvlJc w:val="left"/>
      <w:pPr>
        <w:ind w:left="425" w:hanging="425"/>
      </w:pPr>
      <w:rPr>
        <w:rFonts w:hint="default"/>
      </w:rPr>
    </w:lvl>
  </w:abstractNum>
  <w:abstractNum w:abstractNumId="8">
    <w:nsid w:val="3CFE95EC"/>
    <w:multiLevelType w:val="singleLevel"/>
    <w:tmpl w:val="3CFE95EC"/>
    <w:lvl w:ilvl="0" w:tentative="0">
      <w:start w:val="1"/>
      <w:numFmt w:val="decimal"/>
      <w:lvlText w:val="%1."/>
      <w:lvlJc w:val="left"/>
      <w:pPr>
        <w:ind w:left="425" w:hanging="425"/>
      </w:pPr>
      <w:rPr>
        <w:rFonts w:hint="default"/>
      </w:rPr>
    </w:lvl>
  </w:abstractNum>
  <w:abstractNum w:abstractNumId="9">
    <w:nsid w:val="45305068"/>
    <w:multiLevelType w:val="singleLevel"/>
    <w:tmpl w:val="45305068"/>
    <w:lvl w:ilvl="0" w:tentative="0">
      <w:start w:val="1"/>
      <w:numFmt w:val="decimal"/>
      <w:suff w:val="nothing"/>
      <w:lvlText w:val="%1．"/>
      <w:lvlJc w:val="left"/>
      <w:pPr>
        <w:ind w:left="0" w:firstLine="400"/>
      </w:pPr>
      <w:rPr>
        <w:rFonts w:hint="default"/>
      </w:rPr>
    </w:lvl>
  </w:abstractNum>
  <w:abstractNum w:abstractNumId="10">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10"/>
  </w:num>
  <w:num w:numId="2">
    <w:abstractNumId w:val="0"/>
  </w:num>
  <w:num w:numId="3">
    <w:abstractNumId w:val="7"/>
  </w:num>
  <w:num w:numId="4">
    <w:abstractNumId w:val="2"/>
  </w:num>
  <w:num w:numId="5">
    <w:abstractNumId w:val="9"/>
  </w:num>
  <w:num w:numId="6">
    <w:abstractNumId w:val="5"/>
  </w:num>
  <w:num w:numId="7">
    <w:abstractNumId w:val="3"/>
  </w:num>
  <w:num w:numId="8">
    <w:abstractNumId w:val="4"/>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D6762"/>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A23798"/>
    <w:rsid w:val="01D4202A"/>
    <w:rsid w:val="01E40305"/>
    <w:rsid w:val="02111B48"/>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615C51"/>
    <w:rsid w:val="0870581B"/>
    <w:rsid w:val="087B16EE"/>
    <w:rsid w:val="08D200D2"/>
    <w:rsid w:val="08D5567E"/>
    <w:rsid w:val="08DA77BC"/>
    <w:rsid w:val="091B55B7"/>
    <w:rsid w:val="09667D20"/>
    <w:rsid w:val="09670FEB"/>
    <w:rsid w:val="0A4F22B8"/>
    <w:rsid w:val="0B284DF4"/>
    <w:rsid w:val="0B3C1DD2"/>
    <w:rsid w:val="0BE85250"/>
    <w:rsid w:val="0BF50685"/>
    <w:rsid w:val="0C0A1AE2"/>
    <w:rsid w:val="0C6B700A"/>
    <w:rsid w:val="0CB95D5D"/>
    <w:rsid w:val="0D181FDD"/>
    <w:rsid w:val="0D3D2C6D"/>
    <w:rsid w:val="0D95362E"/>
    <w:rsid w:val="0E281839"/>
    <w:rsid w:val="0E5D15E1"/>
    <w:rsid w:val="0E651252"/>
    <w:rsid w:val="0EAF071F"/>
    <w:rsid w:val="0EBE7A58"/>
    <w:rsid w:val="0EE01230"/>
    <w:rsid w:val="0EFD4FFF"/>
    <w:rsid w:val="0F117DCD"/>
    <w:rsid w:val="0F4B3CD6"/>
    <w:rsid w:val="0FAE09D7"/>
    <w:rsid w:val="0FD541B5"/>
    <w:rsid w:val="0FD94312"/>
    <w:rsid w:val="10C87736"/>
    <w:rsid w:val="10DC1407"/>
    <w:rsid w:val="11292507"/>
    <w:rsid w:val="11864ECE"/>
    <w:rsid w:val="11B147AE"/>
    <w:rsid w:val="12156905"/>
    <w:rsid w:val="122A1C35"/>
    <w:rsid w:val="123633A3"/>
    <w:rsid w:val="126F08F1"/>
    <w:rsid w:val="12B95BF5"/>
    <w:rsid w:val="12FC7CAB"/>
    <w:rsid w:val="13384987"/>
    <w:rsid w:val="135E1E85"/>
    <w:rsid w:val="138647F8"/>
    <w:rsid w:val="13AC347F"/>
    <w:rsid w:val="13BD5EA0"/>
    <w:rsid w:val="154F6BFC"/>
    <w:rsid w:val="15B8435D"/>
    <w:rsid w:val="15C7186C"/>
    <w:rsid w:val="160D0C13"/>
    <w:rsid w:val="161A4883"/>
    <w:rsid w:val="169053D2"/>
    <w:rsid w:val="16986008"/>
    <w:rsid w:val="174E5C03"/>
    <w:rsid w:val="18064C3E"/>
    <w:rsid w:val="182D3E1E"/>
    <w:rsid w:val="1890511D"/>
    <w:rsid w:val="18C20124"/>
    <w:rsid w:val="192750FA"/>
    <w:rsid w:val="19377F15"/>
    <w:rsid w:val="19566EEA"/>
    <w:rsid w:val="196B12AE"/>
    <w:rsid w:val="199D5E15"/>
    <w:rsid w:val="19C009DD"/>
    <w:rsid w:val="19F8741E"/>
    <w:rsid w:val="1A57149E"/>
    <w:rsid w:val="1AD513C8"/>
    <w:rsid w:val="1B0B3A82"/>
    <w:rsid w:val="1B2A5B2D"/>
    <w:rsid w:val="1BBB20ED"/>
    <w:rsid w:val="1BC516DC"/>
    <w:rsid w:val="1C2C33AF"/>
    <w:rsid w:val="1C5924DA"/>
    <w:rsid w:val="1CC01D49"/>
    <w:rsid w:val="1D293D92"/>
    <w:rsid w:val="1D73527E"/>
    <w:rsid w:val="1D9144F9"/>
    <w:rsid w:val="1DBB1481"/>
    <w:rsid w:val="1E7D770C"/>
    <w:rsid w:val="1E8756B5"/>
    <w:rsid w:val="1EFA7794"/>
    <w:rsid w:val="1F8706FA"/>
    <w:rsid w:val="1FBC679D"/>
    <w:rsid w:val="2017241C"/>
    <w:rsid w:val="20184CDF"/>
    <w:rsid w:val="203E197C"/>
    <w:rsid w:val="20E177D6"/>
    <w:rsid w:val="21163D6E"/>
    <w:rsid w:val="211E4748"/>
    <w:rsid w:val="21446D16"/>
    <w:rsid w:val="21717012"/>
    <w:rsid w:val="2174166C"/>
    <w:rsid w:val="217C07D2"/>
    <w:rsid w:val="217D3645"/>
    <w:rsid w:val="21FD3617"/>
    <w:rsid w:val="220A18B2"/>
    <w:rsid w:val="22472550"/>
    <w:rsid w:val="22552CBE"/>
    <w:rsid w:val="22605719"/>
    <w:rsid w:val="22A24F77"/>
    <w:rsid w:val="23181D37"/>
    <w:rsid w:val="23476D20"/>
    <w:rsid w:val="238751DA"/>
    <w:rsid w:val="23A10B26"/>
    <w:rsid w:val="2432177F"/>
    <w:rsid w:val="244169F2"/>
    <w:rsid w:val="244B3CF1"/>
    <w:rsid w:val="24E43DBE"/>
    <w:rsid w:val="25460C19"/>
    <w:rsid w:val="25502592"/>
    <w:rsid w:val="25AA1013"/>
    <w:rsid w:val="25C92CD3"/>
    <w:rsid w:val="25E469AE"/>
    <w:rsid w:val="26452515"/>
    <w:rsid w:val="266839DC"/>
    <w:rsid w:val="267A0F5B"/>
    <w:rsid w:val="275E5164"/>
    <w:rsid w:val="276211B9"/>
    <w:rsid w:val="277D7855"/>
    <w:rsid w:val="27B14F8C"/>
    <w:rsid w:val="27C3323B"/>
    <w:rsid w:val="281969AC"/>
    <w:rsid w:val="28687FFD"/>
    <w:rsid w:val="28AA1B55"/>
    <w:rsid w:val="29493053"/>
    <w:rsid w:val="296E6680"/>
    <w:rsid w:val="29D20906"/>
    <w:rsid w:val="29E62364"/>
    <w:rsid w:val="29E951A9"/>
    <w:rsid w:val="2A840D68"/>
    <w:rsid w:val="2AD271D4"/>
    <w:rsid w:val="2B802899"/>
    <w:rsid w:val="2BB86A0D"/>
    <w:rsid w:val="2BD922DF"/>
    <w:rsid w:val="2BDD1053"/>
    <w:rsid w:val="2BFC5660"/>
    <w:rsid w:val="2CD132E0"/>
    <w:rsid w:val="2CE1015E"/>
    <w:rsid w:val="2D1A0F52"/>
    <w:rsid w:val="2D284A8B"/>
    <w:rsid w:val="2D6A07AF"/>
    <w:rsid w:val="2E1B79DD"/>
    <w:rsid w:val="2E1C46A1"/>
    <w:rsid w:val="2E466964"/>
    <w:rsid w:val="2EAB453D"/>
    <w:rsid w:val="2EBE55DC"/>
    <w:rsid w:val="2F8135BA"/>
    <w:rsid w:val="2FB503ED"/>
    <w:rsid w:val="2FF53A30"/>
    <w:rsid w:val="30640F12"/>
    <w:rsid w:val="30761B60"/>
    <w:rsid w:val="307B3985"/>
    <w:rsid w:val="31411253"/>
    <w:rsid w:val="320F30FF"/>
    <w:rsid w:val="32A21206"/>
    <w:rsid w:val="32DC238B"/>
    <w:rsid w:val="333F5C66"/>
    <w:rsid w:val="33AD5CCD"/>
    <w:rsid w:val="33BD4484"/>
    <w:rsid w:val="33F24A86"/>
    <w:rsid w:val="34290233"/>
    <w:rsid w:val="347F70CA"/>
    <w:rsid w:val="34B20890"/>
    <w:rsid w:val="3531316D"/>
    <w:rsid w:val="353514B3"/>
    <w:rsid w:val="35632CB0"/>
    <w:rsid w:val="356C5135"/>
    <w:rsid w:val="35A44226"/>
    <w:rsid w:val="35C80F68"/>
    <w:rsid w:val="35F23C5E"/>
    <w:rsid w:val="35F66AB0"/>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1B6460"/>
    <w:rsid w:val="3A254A58"/>
    <w:rsid w:val="3A6A35C8"/>
    <w:rsid w:val="3B641245"/>
    <w:rsid w:val="3B812EFB"/>
    <w:rsid w:val="3BB219FF"/>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552625"/>
    <w:rsid w:val="406D2832"/>
    <w:rsid w:val="4088349B"/>
    <w:rsid w:val="409F5294"/>
    <w:rsid w:val="40BE68B1"/>
    <w:rsid w:val="411917A9"/>
    <w:rsid w:val="411B17E9"/>
    <w:rsid w:val="4125092B"/>
    <w:rsid w:val="416634E9"/>
    <w:rsid w:val="417A209D"/>
    <w:rsid w:val="41E36304"/>
    <w:rsid w:val="41EF4DD7"/>
    <w:rsid w:val="42383FAC"/>
    <w:rsid w:val="42CE66BF"/>
    <w:rsid w:val="441402AC"/>
    <w:rsid w:val="443A10E4"/>
    <w:rsid w:val="44477EAE"/>
    <w:rsid w:val="445563DC"/>
    <w:rsid w:val="44920E3D"/>
    <w:rsid w:val="44E0213C"/>
    <w:rsid w:val="451900C5"/>
    <w:rsid w:val="4538652B"/>
    <w:rsid w:val="459A079B"/>
    <w:rsid w:val="45BA6FF3"/>
    <w:rsid w:val="45C42D35"/>
    <w:rsid w:val="46250CEB"/>
    <w:rsid w:val="46A21D83"/>
    <w:rsid w:val="46C51FF4"/>
    <w:rsid w:val="46F81593"/>
    <w:rsid w:val="477061BA"/>
    <w:rsid w:val="48594F6C"/>
    <w:rsid w:val="490A7E7E"/>
    <w:rsid w:val="496507E8"/>
    <w:rsid w:val="496644AB"/>
    <w:rsid w:val="499E0AED"/>
    <w:rsid w:val="49B22896"/>
    <w:rsid w:val="49B91A00"/>
    <w:rsid w:val="49DB025A"/>
    <w:rsid w:val="49E85940"/>
    <w:rsid w:val="4A7A3A7B"/>
    <w:rsid w:val="4A83274D"/>
    <w:rsid w:val="4AC959A5"/>
    <w:rsid w:val="4ACD7EC8"/>
    <w:rsid w:val="4AF86336"/>
    <w:rsid w:val="4B483E4E"/>
    <w:rsid w:val="4B72085D"/>
    <w:rsid w:val="4B775B45"/>
    <w:rsid w:val="4BB37A71"/>
    <w:rsid w:val="4C1C5438"/>
    <w:rsid w:val="4C522092"/>
    <w:rsid w:val="4C6912ED"/>
    <w:rsid w:val="4C6C5654"/>
    <w:rsid w:val="4C70066A"/>
    <w:rsid w:val="4CF96DDB"/>
    <w:rsid w:val="4DC13281"/>
    <w:rsid w:val="4DC74CFA"/>
    <w:rsid w:val="4DD270FF"/>
    <w:rsid w:val="4DED719D"/>
    <w:rsid w:val="4DF119C7"/>
    <w:rsid w:val="4E01467F"/>
    <w:rsid w:val="4E2E14AE"/>
    <w:rsid w:val="4E324A13"/>
    <w:rsid w:val="4E505288"/>
    <w:rsid w:val="4EA63DCF"/>
    <w:rsid w:val="4EE27595"/>
    <w:rsid w:val="4F183B11"/>
    <w:rsid w:val="4F255661"/>
    <w:rsid w:val="4F267548"/>
    <w:rsid w:val="4FC92EB7"/>
    <w:rsid w:val="4FCF689E"/>
    <w:rsid w:val="4FEB5D82"/>
    <w:rsid w:val="506A5C79"/>
    <w:rsid w:val="50CF3B16"/>
    <w:rsid w:val="50FB4B23"/>
    <w:rsid w:val="510C6D30"/>
    <w:rsid w:val="51143217"/>
    <w:rsid w:val="511C04F0"/>
    <w:rsid w:val="51301904"/>
    <w:rsid w:val="518247CD"/>
    <w:rsid w:val="51AE5B13"/>
    <w:rsid w:val="51F129BD"/>
    <w:rsid w:val="51F46063"/>
    <w:rsid w:val="5248023B"/>
    <w:rsid w:val="528251F9"/>
    <w:rsid w:val="52854FEC"/>
    <w:rsid w:val="528725E8"/>
    <w:rsid w:val="52C736E5"/>
    <w:rsid w:val="52F34AF7"/>
    <w:rsid w:val="531F0A38"/>
    <w:rsid w:val="53396895"/>
    <w:rsid w:val="53431530"/>
    <w:rsid w:val="534C23F8"/>
    <w:rsid w:val="537E1A3B"/>
    <w:rsid w:val="539F20DD"/>
    <w:rsid w:val="53F263EE"/>
    <w:rsid w:val="53F35348"/>
    <w:rsid w:val="540B32D4"/>
    <w:rsid w:val="542D0023"/>
    <w:rsid w:val="54492049"/>
    <w:rsid w:val="554A0437"/>
    <w:rsid w:val="55572544"/>
    <w:rsid w:val="556B2F42"/>
    <w:rsid w:val="559614AD"/>
    <w:rsid w:val="55EB13B4"/>
    <w:rsid w:val="563A7A06"/>
    <w:rsid w:val="56426A18"/>
    <w:rsid w:val="56466840"/>
    <w:rsid w:val="5679722D"/>
    <w:rsid w:val="568D1040"/>
    <w:rsid w:val="56C108C3"/>
    <w:rsid w:val="56D4209E"/>
    <w:rsid w:val="56D55E16"/>
    <w:rsid w:val="56E63BF6"/>
    <w:rsid w:val="56E909D1"/>
    <w:rsid w:val="570012C4"/>
    <w:rsid w:val="571A209E"/>
    <w:rsid w:val="573E1C0D"/>
    <w:rsid w:val="57A447E2"/>
    <w:rsid w:val="57B222F1"/>
    <w:rsid w:val="57BF3223"/>
    <w:rsid w:val="57D57FE5"/>
    <w:rsid w:val="57F349B4"/>
    <w:rsid w:val="580C21B8"/>
    <w:rsid w:val="58237D58"/>
    <w:rsid w:val="58E30CBE"/>
    <w:rsid w:val="59130BF2"/>
    <w:rsid w:val="5A623658"/>
    <w:rsid w:val="5AA77AC9"/>
    <w:rsid w:val="5AB94CB0"/>
    <w:rsid w:val="5AE2191C"/>
    <w:rsid w:val="5AF447C8"/>
    <w:rsid w:val="5B42243D"/>
    <w:rsid w:val="5B750472"/>
    <w:rsid w:val="5C2259A7"/>
    <w:rsid w:val="5C6A5252"/>
    <w:rsid w:val="5CB02E72"/>
    <w:rsid w:val="5CBB7096"/>
    <w:rsid w:val="5CC65C09"/>
    <w:rsid w:val="5CF94D09"/>
    <w:rsid w:val="5D10034F"/>
    <w:rsid w:val="5D1D108E"/>
    <w:rsid w:val="5D64629B"/>
    <w:rsid w:val="5DF52D98"/>
    <w:rsid w:val="5E8F426F"/>
    <w:rsid w:val="5F5E0D69"/>
    <w:rsid w:val="5F6B7317"/>
    <w:rsid w:val="5FB952F7"/>
    <w:rsid w:val="5FD04807"/>
    <w:rsid w:val="5FE21A2D"/>
    <w:rsid w:val="5FEA4840"/>
    <w:rsid w:val="601D1674"/>
    <w:rsid w:val="602A4AFA"/>
    <w:rsid w:val="60357077"/>
    <w:rsid w:val="60471AE6"/>
    <w:rsid w:val="60740EEE"/>
    <w:rsid w:val="611E5CEA"/>
    <w:rsid w:val="612A7B96"/>
    <w:rsid w:val="615A3E4F"/>
    <w:rsid w:val="61F10B38"/>
    <w:rsid w:val="629D1EDE"/>
    <w:rsid w:val="62AE4CC2"/>
    <w:rsid w:val="62DC4D09"/>
    <w:rsid w:val="63296D0D"/>
    <w:rsid w:val="633E435B"/>
    <w:rsid w:val="63862972"/>
    <w:rsid w:val="63C4349A"/>
    <w:rsid w:val="63EF4A27"/>
    <w:rsid w:val="63F04F4C"/>
    <w:rsid w:val="647C0CCA"/>
    <w:rsid w:val="64AE1D63"/>
    <w:rsid w:val="65190B34"/>
    <w:rsid w:val="65605444"/>
    <w:rsid w:val="658B1A66"/>
    <w:rsid w:val="65E34F6C"/>
    <w:rsid w:val="6617424D"/>
    <w:rsid w:val="66175FF4"/>
    <w:rsid w:val="661A4CF1"/>
    <w:rsid w:val="66B72420"/>
    <w:rsid w:val="677656C0"/>
    <w:rsid w:val="67BF47DA"/>
    <w:rsid w:val="67CF51D0"/>
    <w:rsid w:val="683672D1"/>
    <w:rsid w:val="6870599E"/>
    <w:rsid w:val="68C1350F"/>
    <w:rsid w:val="68D90C50"/>
    <w:rsid w:val="690F34D8"/>
    <w:rsid w:val="69146C72"/>
    <w:rsid w:val="695159F2"/>
    <w:rsid w:val="699818E6"/>
    <w:rsid w:val="69B1345E"/>
    <w:rsid w:val="69E85F1D"/>
    <w:rsid w:val="69F735B9"/>
    <w:rsid w:val="6A7D6D4C"/>
    <w:rsid w:val="6ACC4333"/>
    <w:rsid w:val="6AD55F8D"/>
    <w:rsid w:val="6AE9343E"/>
    <w:rsid w:val="6B160115"/>
    <w:rsid w:val="6B375F4D"/>
    <w:rsid w:val="6B5E27A7"/>
    <w:rsid w:val="6B9F3563"/>
    <w:rsid w:val="6C03115B"/>
    <w:rsid w:val="6C286BB6"/>
    <w:rsid w:val="6C5A184B"/>
    <w:rsid w:val="6C7F45C3"/>
    <w:rsid w:val="6C917EB1"/>
    <w:rsid w:val="6CBF2379"/>
    <w:rsid w:val="6DE56FB8"/>
    <w:rsid w:val="6E05155A"/>
    <w:rsid w:val="6EAF1D97"/>
    <w:rsid w:val="6EC36C53"/>
    <w:rsid w:val="6EDF1479"/>
    <w:rsid w:val="6F0012B4"/>
    <w:rsid w:val="6F273727"/>
    <w:rsid w:val="6F4F3AEB"/>
    <w:rsid w:val="6F7777CC"/>
    <w:rsid w:val="6FA47FBB"/>
    <w:rsid w:val="700004A3"/>
    <w:rsid w:val="70352843"/>
    <w:rsid w:val="70660F19"/>
    <w:rsid w:val="70BC1EA3"/>
    <w:rsid w:val="71351F1E"/>
    <w:rsid w:val="71BE1884"/>
    <w:rsid w:val="72391D4A"/>
    <w:rsid w:val="728B044D"/>
    <w:rsid w:val="7292185F"/>
    <w:rsid w:val="729B0878"/>
    <w:rsid w:val="72BF0FB5"/>
    <w:rsid w:val="72CB26C8"/>
    <w:rsid w:val="730E02F2"/>
    <w:rsid w:val="73137852"/>
    <w:rsid w:val="74373695"/>
    <w:rsid w:val="74470274"/>
    <w:rsid w:val="745B578D"/>
    <w:rsid w:val="74841ADE"/>
    <w:rsid w:val="753F31E1"/>
    <w:rsid w:val="7543018C"/>
    <w:rsid w:val="759B45EB"/>
    <w:rsid w:val="75B51EF4"/>
    <w:rsid w:val="75E521C9"/>
    <w:rsid w:val="75FC6AC3"/>
    <w:rsid w:val="760C4FFE"/>
    <w:rsid w:val="761C27EB"/>
    <w:rsid w:val="762C4268"/>
    <w:rsid w:val="764046F8"/>
    <w:rsid w:val="764D3034"/>
    <w:rsid w:val="765C1A26"/>
    <w:rsid w:val="76F23345"/>
    <w:rsid w:val="76FF7360"/>
    <w:rsid w:val="77626DFA"/>
    <w:rsid w:val="778639AE"/>
    <w:rsid w:val="779C231F"/>
    <w:rsid w:val="77A9563E"/>
    <w:rsid w:val="77C03DF0"/>
    <w:rsid w:val="77C31757"/>
    <w:rsid w:val="77EB79D1"/>
    <w:rsid w:val="786F6CEC"/>
    <w:rsid w:val="78713614"/>
    <w:rsid w:val="789251AB"/>
    <w:rsid w:val="78B91314"/>
    <w:rsid w:val="78BC1EE8"/>
    <w:rsid w:val="78F46178"/>
    <w:rsid w:val="793C77A5"/>
    <w:rsid w:val="79A150BC"/>
    <w:rsid w:val="79AA04DA"/>
    <w:rsid w:val="79B80E83"/>
    <w:rsid w:val="79FB3A7A"/>
    <w:rsid w:val="7A1A22FC"/>
    <w:rsid w:val="7A464A39"/>
    <w:rsid w:val="7A4B78D7"/>
    <w:rsid w:val="7A4D57AC"/>
    <w:rsid w:val="7A991583"/>
    <w:rsid w:val="7C0F46CC"/>
    <w:rsid w:val="7CF60C9B"/>
    <w:rsid w:val="7D5B4DC8"/>
    <w:rsid w:val="7D5E2375"/>
    <w:rsid w:val="7D782B7B"/>
    <w:rsid w:val="7DD5687F"/>
    <w:rsid w:val="7DEE2E3F"/>
    <w:rsid w:val="7E871BDF"/>
    <w:rsid w:val="7E9B3329"/>
    <w:rsid w:val="7EFA6752"/>
    <w:rsid w:val="7F0C439C"/>
    <w:rsid w:val="7F2218F7"/>
    <w:rsid w:val="7F6B1BAD"/>
    <w:rsid w:val="7F7541E5"/>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21">
    <w:name w:val="Default Paragraph Font"/>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w:basedOn w:val="1"/>
    <w:next w:val="1"/>
    <w:qFormat/>
    <w:uiPriority w:val="0"/>
    <w:pPr>
      <w:spacing w:line="460" w:lineRule="exact"/>
    </w:pPr>
    <w:rPr>
      <w:rFonts w:ascii="宋体" w:hAnsi="宋体"/>
      <w:sz w:val="24"/>
    </w:rPr>
  </w:style>
  <w:style w:type="paragraph" w:styleId="6">
    <w:name w:val="Body Text Indent"/>
    <w:basedOn w:val="1"/>
    <w:next w:val="7"/>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7">
    <w:name w:val="envelope return"/>
    <w:basedOn w:val="1"/>
    <w:qFormat/>
    <w:uiPriority w:val="0"/>
    <w:pPr>
      <w:snapToGrid w:val="0"/>
    </w:pPr>
    <w:rPr>
      <w:rFonts w:ascii="Arial" w:hAnsi="Arial" w:cs="Arial"/>
    </w:rPr>
  </w:style>
  <w:style w:type="paragraph" w:styleId="8">
    <w:name w:val="Plain Text"/>
    <w:basedOn w:val="1"/>
    <w:autoRedefine/>
    <w:qFormat/>
    <w:uiPriority w:val="0"/>
    <w:rPr>
      <w:rFonts w:ascii="宋体" w:hAnsi="Courier New"/>
      <w:szCs w:val="20"/>
    </w:rPr>
  </w:style>
  <w:style w:type="paragraph" w:styleId="9">
    <w:name w:val="Body Text Indent 2"/>
    <w:basedOn w:val="1"/>
    <w:next w:val="5"/>
    <w:qFormat/>
    <w:uiPriority w:val="0"/>
    <w:pPr>
      <w:spacing w:line="480" w:lineRule="auto"/>
      <w:ind w:firstLine="480" w:firstLineChars="200"/>
    </w:pPr>
    <w:rPr>
      <w:rFonts w:ascii="宋体" w:hAnsi="宋体"/>
      <w:sz w:val="24"/>
    </w:rPr>
  </w:style>
  <w:style w:type="paragraph" w:styleId="10">
    <w:name w:val="Balloon Text"/>
    <w:basedOn w:val="1"/>
    <w:autoRedefine/>
    <w:semiHidden/>
    <w:qFormat/>
    <w:uiPriority w:val="0"/>
    <w:rPr>
      <w:sz w:val="18"/>
      <w:szCs w:val="18"/>
    </w:rPr>
  </w:style>
  <w:style w:type="paragraph" w:styleId="11">
    <w:name w:val="footer"/>
    <w:basedOn w:val="1"/>
    <w:link w:val="38"/>
    <w:autoRedefine/>
    <w:qFormat/>
    <w:uiPriority w:val="0"/>
    <w:pPr>
      <w:tabs>
        <w:tab w:val="center" w:pos="4153"/>
        <w:tab w:val="right" w:pos="8306"/>
      </w:tabs>
      <w:snapToGrid w:val="0"/>
      <w:jc w:val="left"/>
    </w:pPr>
    <w:rPr>
      <w:sz w:val="18"/>
      <w:szCs w:val="18"/>
    </w:rPr>
  </w:style>
  <w:style w:type="paragraph" w:styleId="12">
    <w:name w:val="header"/>
    <w:basedOn w:val="1"/>
    <w:link w:val="3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spacing w:line="360" w:lineRule="auto"/>
      <w:ind w:left="1260" w:leftChars="600"/>
    </w:pPr>
    <w:rPr>
      <w:rFonts w:ascii="宋体" w:hAnsi="宋体"/>
      <w:b/>
      <w:bCs/>
      <w:sz w:val="24"/>
    </w:rPr>
  </w:style>
  <w:style w:type="paragraph" w:styleId="14">
    <w:name w:val="toc 2"/>
    <w:basedOn w:val="1"/>
    <w:next w:val="1"/>
    <w:qFormat/>
    <w:uiPriority w:val="0"/>
    <w:pPr>
      <w:ind w:left="420" w:leftChars="200"/>
    </w:pPr>
    <w:rPr>
      <w:rFonts w:ascii="Times New Roman" w:hAnsi="Times New Roman" w:cs="Times New Roman"/>
    </w:rPr>
  </w:style>
  <w:style w:type="paragraph" w:styleId="1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autoRedefine/>
    <w:qFormat/>
    <w:uiPriority w:val="0"/>
    <w:pPr>
      <w:jc w:val="left"/>
    </w:pPr>
    <w:rPr>
      <w:kern w:val="0"/>
      <w:sz w:val="24"/>
    </w:rPr>
  </w:style>
  <w:style w:type="paragraph" w:styleId="17">
    <w:name w:val="annotation subject"/>
    <w:basedOn w:val="4"/>
    <w:next w:val="4"/>
    <w:autoRedefine/>
    <w:semiHidden/>
    <w:qFormat/>
    <w:uiPriority w:val="0"/>
    <w:rPr>
      <w:b/>
      <w:bCs/>
    </w:rPr>
  </w:style>
  <w:style w:type="paragraph" w:styleId="18">
    <w:name w:val="Body Text First Indent 2"/>
    <w:basedOn w:val="6"/>
    <w:qFormat/>
    <w:uiPriority w:val="0"/>
    <w:pPr>
      <w:spacing w:after="120"/>
      <w:ind w:left="420" w:leftChars="200" w:firstLine="420" w:firstLineChars="200"/>
    </w:p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autoRedefine/>
    <w:qFormat/>
    <w:uiPriority w:val="22"/>
    <w:rPr>
      <w:b/>
    </w:rPr>
  </w:style>
  <w:style w:type="character" w:styleId="23">
    <w:name w:val="FollowedHyperlink"/>
    <w:basedOn w:val="21"/>
    <w:autoRedefine/>
    <w:qFormat/>
    <w:uiPriority w:val="0"/>
    <w:rPr>
      <w:color w:val="4879E4"/>
      <w:u w:val="none"/>
    </w:rPr>
  </w:style>
  <w:style w:type="character" w:styleId="24">
    <w:name w:val="Emphasis"/>
    <w:basedOn w:val="21"/>
    <w:autoRedefine/>
    <w:qFormat/>
    <w:uiPriority w:val="0"/>
    <w:rPr>
      <w:b/>
    </w:rPr>
  </w:style>
  <w:style w:type="character" w:styleId="25">
    <w:name w:val="HTML Definition"/>
    <w:basedOn w:val="21"/>
    <w:autoRedefine/>
    <w:qFormat/>
    <w:uiPriority w:val="0"/>
  </w:style>
  <w:style w:type="character" w:styleId="26">
    <w:name w:val="HTML Variable"/>
    <w:basedOn w:val="21"/>
    <w:autoRedefine/>
    <w:qFormat/>
    <w:uiPriority w:val="0"/>
  </w:style>
  <w:style w:type="character" w:styleId="27">
    <w:name w:val="Hyperlink"/>
    <w:basedOn w:val="21"/>
    <w:autoRedefine/>
    <w:qFormat/>
    <w:uiPriority w:val="0"/>
    <w:rPr>
      <w:color w:val="0000FF"/>
      <w:u w:val="none"/>
    </w:rPr>
  </w:style>
  <w:style w:type="character" w:styleId="28">
    <w:name w:val="HTML Code"/>
    <w:basedOn w:val="21"/>
    <w:autoRedefine/>
    <w:qFormat/>
    <w:uiPriority w:val="0"/>
    <w:rPr>
      <w:rFonts w:ascii="Courier New" w:hAnsi="Courier New"/>
      <w:sz w:val="20"/>
    </w:rPr>
  </w:style>
  <w:style w:type="character" w:styleId="29">
    <w:name w:val="annotation reference"/>
    <w:basedOn w:val="21"/>
    <w:autoRedefine/>
    <w:semiHidden/>
    <w:qFormat/>
    <w:uiPriority w:val="0"/>
    <w:rPr>
      <w:sz w:val="21"/>
      <w:szCs w:val="21"/>
    </w:rPr>
  </w:style>
  <w:style w:type="character" w:styleId="30">
    <w:name w:val="HTML Cite"/>
    <w:basedOn w:val="21"/>
    <w:autoRedefine/>
    <w:qFormat/>
    <w:uiPriority w:val="0"/>
  </w:style>
  <w:style w:type="character" w:styleId="31">
    <w:name w:val="HTML Keyboard"/>
    <w:basedOn w:val="21"/>
    <w:autoRedefine/>
    <w:qFormat/>
    <w:uiPriority w:val="0"/>
    <w:rPr>
      <w:rFonts w:ascii="Courier New" w:hAnsi="Courier New"/>
      <w:sz w:val="20"/>
    </w:rPr>
  </w:style>
  <w:style w:type="character" w:styleId="32">
    <w:name w:val="HTML Sample"/>
    <w:basedOn w:val="21"/>
    <w:autoRedefine/>
    <w:qFormat/>
    <w:uiPriority w:val="0"/>
    <w:rPr>
      <w:rFonts w:ascii="Courier New" w:hAnsi="Courier New"/>
    </w:rPr>
  </w:style>
  <w:style w:type="paragraph" w:customStyle="1" w:styleId="33">
    <w:name w:val="列出段落1"/>
    <w:basedOn w:val="1"/>
    <w:autoRedefine/>
    <w:qFormat/>
    <w:uiPriority w:val="34"/>
    <w:pPr>
      <w:ind w:firstLine="420" w:firstLineChars="200"/>
    </w:pPr>
  </w:style>
  <w:style w:type="character" w:customStyle="1" w:styleId="34">
    <w:name w:val="hover8"/>
    <w:basedOn w:val="21"/>
    <w:autoRedefine/>
    <w:qFormat/>
    <w:uiPriority w:val="0"/>
    <w:rPr>
      <w:shd w:val="clear" w:color="auto" w:fill="EEEEEE"/>
    </w:rPr>
  </w:style>
  <w:style w:type="character" w:customStyle="1" w:styleId="35">
    <w:name w:val="old"/>
    <w:basedOn w:val="21"/>
    <w:autoRedefine/>
    <w:qFormat/>
    <w:uiPriority w:val="0"/>
    <w:rPr>
      <w:color w:val="999999"/>
    </w:rPr>
  </w:style>
  <w:style w:type="character" w:customStyle="1" w:styleId="36">
    <w:name w:val="页眉 Char"/>
    <w:link w:val="12"/>
    <w:autoRedefine/>
    <w:qFormat/>
    <w:uiPriority w:val="0"/>
    <w:rPr>
      <w:rFonts w:ascii="Calibri" w:hAnsi="Calibri"/>
      <w:kern w:val="2"/>
      <w:sz w:val="18"/>
      <w:szCs w:val="18"/>
    </w:rPr>
  </w:style>
  <w:style w:type="character" w:customStyle="1" w:styleId="37">
    <w:name w:val="first-child"/>
    <w:basedOn w:val="21"/>
    <w:autoRedefine/>
    <w:qFormat/>
    <w:uiPriority w:val="0"/>
  </w:style>
  <w:style w:type="character" w:customStyle="1" w:styleId="38">
    <w:name w:val="页脚 Char"/>
    <w:link w:val="11"/>
    <w:autoRedefine/>
    <w:qFormat/>
    <w:uiPriority w:val="0"/>
    <w:rPr>
      <w:rFonts w:ascii="Calibri" w:hAnsi="Calibri"/>
      <w:kern w:val="2"/>
      <w:sz w:val="18"/>
      <w:szCs w:val="18"/>
    </w:rPr>
  </w:style>
  <w:style w:type="character" w:customStyle="1" w:styleId="39">
    <w:name w:val="active1"/>
    <w:basedOn w:val="21"/>
    <w:autoRedefine/>
    <w:qFormat/>
    <w:uiPriority w:val="0"/>
  </w:style>
  <w:style w:type="character" w:customStyle="1" w:styleId="40">
    <w:name w:val="dbyear"/>
    <w:basedOn w:val="21"/>
    <w:autoRedefine/>
    <w:qFormat/>
    <w:uiPriority w:val="0"/>
  </w:style>
  <w:style w:type="character" w:customStyle="1" w:styleId="41">
    <w:name w:val="dbdate"/>
    <w:basedOn w:val="21"/>
    <w:autoRedefine/>
    <w:qFormat/>
    <w:uiPriority w:val="0"/>
    <w:rPr>
      <w:bdr w:val="single" w:color="E8EDF6" w:sz="4" w:space="0"/>
    </w:rPr>
  </w:style>
  <w:style w:type="character" w:customStyle="1" w:styleId="42">
    <w:name w:val="new"/>
    <w:basedOn w:val="21"/>
    <w:autoRedefine/>
    <w:qFormat/>
    <w:uiPriority w:val="0"/>
    <w:rPr>
      <w:color w:val="999999"/>
    </w:rPr>
  </w:style>
  <w:style w:type="character" w:customStyle="1" w:styleId="43">
    <w:name w:val="last-child1"/>
    <w:basedOn w:val="21"/>
    <w:autoRedefine/>
    <w:qFormat/>
    <w:uiPriority w:val="0"/>
    <w:rPr>
      <w:color w:val="787E94"/>
    </w:rPr>
  </w:style>
  <w:style w:type="character" w:customStyle="1" w:styleId="44">
    <w:name w:val="opt2"/>
    <w:basedOn w:val="21"/>
    <w:autoRedefine/>
    <w:qFormat/>
    <w:uiPriority w:val="0"/>
  </w:style>
  <w:style w:type="character" w:customStyle="1" w:styleId="45">
    <w:name w:val="layui-this"/>
    <w:basedOn w:val="21"/>
    <w:autoRedefine/>
    <w:qFormat/>
    <w:uiPriority w:val="0"/>
    <w:rPr>
      <w:bdr w:val="single" w:color="EEEEEE" w:sz="4" w:space="0"/>
      <w:shd w:val="clear" w:color="auto" w:fill="FFFFFF"/>
    </w:rPr>
  </w:style>
  <w:style w:type="character" w:customStyle="1" w:styleId="46">
    <w:name w:val="half"/>
    <w:basedOn w:val="21"/>
    <w:autoRedefine/>
    <w:qFormat/>
    <w:uiPriority w:val="0"/>
  </w:style>
  <w:style w:type="character" w:customStyle="1" w:styleId="47">
    <w:name w:val="focused"/>
    <w:basedOn w:val="21"/>
    <w:autoRedefine/>
    <w:qFormat/>
    <w:uiPriority w:val="0"/>
    <w:rPr>
      <w:shd w:val="clear" w:color="auto" w:fill="EEEEEE"/>
    </w:rPr>
  </w:style>
  <w:style w:type="character" w:customStyle="1" w:styleId="48">
    <w:name w:val="on"/>
    <w:basedOn w:val="21"/>
    <w:autoRedefine/>
    <w:qFormat/>
    <w:uiPriority w:val="0"/>
  </w:style>
  <w:style w:type="character" w:customStyle="1" w:styleId="49">
    <w:name w:val="active"/>
    <w:basedOn w:val="21"/>
    <w:autoRedefine/>
    <w:qFormat/>
    <w:uiPriority w:val="0"/>
  </w:style>
  <w:style w:type="character" w:customStyle="1" w:styleId="50">
    <w:name w:val="last-child"/>
    <w:basedOn w:val="21"/>
    <w:autoRedefine/>
    <w:qFormat/>
    <w:uiPriority w:val="0"/>
    <w:rPr>
      <w:color w:val="787E94"/>
    </w:rPr>
  </w:style>
  <w:style w:type="character" w:customStyle="1" w:styleId="51">
    <w:name w:val="last-child2"/>
    <w:basedOn w:val="21"/>
    <w:autoRedefine/>
    <w:qFormat/>
    <w:uiPriority w:val="0"/>
    <w:rPr>
      <w:color w:val="787E94"/>
    </w:rPr>
  </w:style>
  <w:style w:type="paragraph" w:customStyle="1" w:styleId="52">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53">
    <w:name w:val="font41"/>
    <w:basedOn w:val="21"/>
    <w:autoRedefine/>
    <w:qFormat/>
    <w:uiPriority w:val="0"/>
    <w:rPr>
      <w:rFonts w:hint="eastAsia" w:ascii="宋体" w:hAnsi="宋体" w:eastAsia="宋体" w:cs="宋体"/>
      <w:color w:val="000000"/>
      <w:sz w:val="20"/>
      <w:szCs w:val="20"/>
      <w:u w:val="none"/>
    </w:rPr>
  </w:style>
  <w:style w:type="character" w:customStyle="1" w:styleId="54">
    <w:name w:val="font31"/>
    <w:basedOn w:val="21"/>
    <w:autoRedefine/>
    <w:qFormat/>
    <w:uiPriority w:val="0"/>
    <w:rPr>
      <w:rFonts w:hint="eastAsia" w:ascii="宋体" w:hAnsi="宋体" w:eastAsia="宋体" w:cs="宋体"/>
      <w:color w:val="000000"/>
      <w:sz w:val="20"/>
      <w:szCs w:val="20"/>
      <w:u w:val="single"/>
    </w:rPr>
  </w:style>
  <w:style w:type="character" w:customStyle="1" w:styleId="55">
    <w:name w:val="font11"/>
    <w:basedOn w:val="21"/>
    <w:autoRedefine/>
    <w:qFormat/>
    <w:uiPriority w:val="0"/>
    <w:rPr>
      <w:rFonts w:hint="default" w:ascii="Dialog" w:hAnsi="Dialog" w:eastAsia="Dialog" w:cs="Dialog"/>
      <w:color w:val="000000"/>
      <w:sz w:val="22"/>
      <w:szCs w:val="22"/>
      <w:u w:val="none"/>
    </w:rPr>
  </w:style>
  <w:style w:type="character" w:customStyle="1" w:styleId="56">
    <w:name w:val="font21"/>
    <w:basedOn w:val="21"/>
    <w:autoRedefine/>
    <w:qFormat/>
    <w:uiPriority w:val="0"/>
    <w:rPr>
      <w:rFonts w:hint="eastAsia" w:ascii="宋体" w:hAnsi="宋体" w:eastAsia="宋体" w:cs="宋体"/>
      <w:color w:val="000000"/>
      <w:sz w:val="22"/>
      <w:szCs w:val="22"/>
      <w:u w:val="none"/>
    </w:rPr>
  </w:style>
  <w:style w:type="character" w:customStyle="1" w:styleId="57">
    <w:name w:val="fontstyle01"/>
    <w:basedOn w:val="21"/>
    <w:autoRedefine/>
    <w:qFormat/>
    <w:uiPriority w:val="0"/>
    <w:rPr>
      <w:rFonts w:hint="eastAsia" w:ascii="宋体" w:hAnsi="宋体" w:eastAsia="宋体"/>
      <w:color w:val="0000FF"/>
      <w:sz w:val="18"/>
      <w:szCs w:val="18"/>
    </w:rPr>
  </w:style>
  <w:style w:type="character" w:customStyle="1" w:styleId="58">
    <w:name w:val="font122"/>
    <w:basedOn w:val="21"/>
    <w:qFormat/>
    <w:uiPriority w:val="0"/>
    <w:rPr>
      <w:rFonts w:hint="eastAsia" w:ascii="宋体" w:hAnsi="宋体" w:eastAsia="宋体" w:cs="宋体"/>
      <w:color w:val="203040"/>
      <w:sz w:val="22"/>
      <w:szCs w:val="22"/>
      <w:u w:val="none"/>
    </w:rPr>
  </w:style>
  <w:style w:type="character" w:customStyle="1" w:styleId="59">
    <w:name w:val="font131"/>
    <w:basedOn w:val="21"/>
    <w:qFormat/>
    <w:uiPriority w:val="0"/>
    <w:rPr>
      <w:rFonts w:hint="eastAsia" w:ascii="宋体" w:hAnsi="宋体" w:eastAsia="宋体" w:cs="宋体"/>
      <w:color w:val="000000"/>
      <w:sz w:val="22"/>
      <w:szCs w:val="22"/>
      <w:u w:val="single"/>
    </w:rPr>
  </w:style>
  <w:style w:type="character" w:customStyle="1" w:styleId="60">
    <w:name w:val="font141"/>
    <w:basedOn w:val="21"/>
    <w:qFormat/>
    <w:uiPriority w:val="0"/>
    <w:rPr>
      <w:rFonts w:hint="eastAsia" w:ascii="宋体" w:hAnsi="宋体" w:eastAsia="宋体" w:cs="宋体"/>
      <w:b/>
      <w:bCs/>
      <w:color w:val="000000"/>
      <w:sz w:val="22"/>
      <w:szCs w:val="22"/>
      <w:u w:val="single"/>
    </w:rPr>
  </w:style>
  <w:style w:type="character" w:customStyle="1" w:styleId="61">
    <w:name w:val="font132"/>
    <w:basedOn w:val="21"/>
    <w:qFormat/>
    <w:uiPriority w:val="0"/>
    <w:rPr>
      <w:rFonts w:hint="eastAsia" w:ascii="宋体" w:hAnsi="宋体" w:eastAsia="宋体" w:cs="宋体"/>
      <w:b/>
      <w:bCs/>
      <w:color w:val="000000"/>
      <w:sz w:val="22"/>
      <w:szCs w:val="22"/>
      <w:u w:val="none"/>
    </w:rPr>
  </w:style>
  <w:style w:type="character" w:customStyle="1" w:styleId="62">
    <w:name w:val="font51"/>
    <w:basedOn w:val="21"/>
    <w:qFormat/>
    <w:uiPriority w:val="0"/>
    <w:rPr>
      <w:rFonts w:hint="eastAsia" w:ascii="宋体" w:hAnsi="宋体" w:eastAsia="宋体" w:cs="宋体"/>
      <w:b/>
      <w:bCs/>
      <w:color w:val="000000"/>
      <w:sz w:val="24"/>
      <w:szCs w:val="24"/>
      <w:u w:val="single"/>
    </w:rPr>
  </w:style>
  <w:style w:type="character" w:customStyle="1" w:styleId="63">
    <w:name w:val="font91"/>
    <w:basedOn w:val="21"/>
    <w:qFormat/>
    <w:uiPriority w:val="0"/>
    <w:rPr>
      <w:rFonts w:hint="eastAsia" w:ascii="宋体" w:hAnsi="宋体" w:eastAsia="宋体" w:cs="宋体"/>
      <w:b/>
      <w:bCs/>
      <w:color w:val="000000"/>
      <w:sz w:val="24"/>
      <w:szCs w:val="24"/>
      <w:u w:val="single"/>
    </w:rPr>
  </w:style>
  <w:style w:type="character" w:customStyle="1" w:styleId="64">
    <w:name w:val="font81"/>
    <w:basedOn w:val="21"/>
    <w:qFormat/>
    <w:uiPriority w:val="0"/>
    <w:rPr>
      <w:rFonts w:hint="eastAsia" w:ascii="宋体" w:hAnsi="宋体" w:eastAsia="宋体" w:cs="宋体"/>
      <w:b/>
      <w:bCs/>
      <w:color w:val="000000"/>
      <w:sz w:val="24"/>
      <w:szCs w:val="24"/>
      <w:u w:val="none"/>
    </w:rPr>
  </w:style>
  <w:style w:type="character" w:customStyle="1" w:styleId="65">
    <w:name w:val="font71"/>
    <w:basedOn w:val="21"/>
    <w:qFormat/>
    <w:uiPriority w:val="0"/>
    <w:rPr>
      <w:rFonts w:hint="eastAsia" w:ascii="宋体" w:hAnsi="宋体" w:eastAsia="宋体" w:cs="宋体"/>
      <w:b/>
      <w:bCs/>
      <w:color w:val="000000"/>
      <w:sz w:val="24"/>
      <w:szCs w:val="24"/>
      <w:u w:val="none"/>
    </w:rPr>
  </w:style>
  <w:style w:type="character" w:customStyle="1" w:styleId="66">
    <w:name w:val="font61"/>
    <w:basedOn w:val="21"/>
    <w:qFormat/>
    <w:uiPriority w:val="0"/>
    <w:rPr>
      <w:rFonts w:hint="eastAsia" w:ascii="宋体" w:hAnsi="宋体" w:eastAsia="宋体" w:cs="宋体"/>
      <w:b/>
      <w:bCs/>
      <w:color w:val="000000"/>
      <w:sz w:val="22"/>
      <w:szCs w:val="22"/>
      <w:u w:val="none"/>
    </w:rPr>
  </w:style>
  <w:style w:type="table" w:customStyle="1" w:styleId="6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13</Pages>
  <Words>2589</Words>
  <Characters>2747</Characters>
  <Lines>17</Lines>
  <Paragraphs>5</Paragraphs>
  <TotalTime>33</TotalTime>
  <ScaleCrop>false</ScaleCrop>
  <LinksUpToDate>false</LinksUpToDate>
  <CharactersWithSpaces>3017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唐玦玦</cp:lastModifiedBy>
  <cp:lastPrinted>2026-03-30T06:59:00Z</cp:lastPrinted>
  <dcterms:modified xsi:type="dcterms:W3CDTF">2026-08-21T06:57:39Z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BAF9B682EBC64C28B6BB89C8176F90B2_13</vt:lpwstr>
  </property>
  <property fmtid="{D5CDD505-2E9C-101B-9397-08002B2CF9AE}" pid="4" name="KSOTemplateDocerSaveRecord">
    <vt:lpwstr>eyJoZGlkIjoiNmJmZWY5ODNkZjA1MTNiNDUxMGZjODZkZDNiNjM1NTkiLCJ1c2VySWQiOiIyMDkxNTE3OTUifQ==</vt:lpwstr>
  </property>
</Properties>
</file>